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8C" w:rsidRPr="004C59A4" w:rsidRDefault="007A7E8C" w:rsidP="007A7E8C">
      <w:pPr>
        <w:pStyle w:val="Title"/>
        <w:spacing w:line="276" w:lineRule="auto"/>
        <w:rPr>
          <w:rFonts w:asciiTheme="minorHAnsi" w:hAnsiTheme="minorHAnsi"/>
          <w:sz w:val="22"/>
          <w:szCs w:val="22"/>
        </w:rPr>
      </w:pPr>
      <w:bookmarkStart w:id="0" w:name="_GoBack"/>
      <w:bookmarkEnd w:id="0"/>
      <w:r>
        <w:rPr>
          <w:rFonts w:asciiTheme="minorHAnsi" w:hAnsiTheme="minorHAnsi"/>
          <w:sz w:val="22"/>
          <w:szCs w:val="22"/>
        </w:rPr>
        <w:t>The Common European Asylum System</w:t>
      </w:r>
      <w:r w:rsidR="002E18D8">
        <w:rPr>
          <w:rFonts w:asciiTheme="minorHAnsi" w:hAnsiTheme="minorHAnsi"/>
          <w:sz w:val="22"/>
          <w:szCs w:val="22"/>
        </w:rPr>
        <w:t>, LW5113</w:t>
      </w:r>
    </w:p>
    <w:p w:rsidR="007A7E8C" w:rsidRPr="004C59A4" w:rsidRDefault="007A7E8C" w:rsidP="007A7E8C">
      <w:pPr>
        <w:pStyle w:val="Title"/>
        <w:spacing w:line="276" w:lineRule="auto"/>
        <w:rPr>
          <w:rFonts w:asciiTheme="minorHAnsi" w:hAnsiTheme="minorHAnsi"/>
          <w:sz w:val="22"/>
          <w:szCs w:val="22"/>
        </w:rPr>
      </w:pPr>
    </w:p>
    <w:p w:rsidR="007A7E8C" w:rsidRPr="004C59A4" w:rsidRDefault="007A7E8C" w:rsidP="007A7E8C">
      <w:pPr>
        <w:spacing w:after="0"/>
        <w:jc w:val="center"/>
        <w:outlineLvl w:val="0"/>
      </w:pPr>
      <w:r w:rsidRPr="004C59A4">
        <w:rPr>
          <w:rFonts w:cs="Arial"/>
          <w:b/>
          <w:bCs/>
        </w:rPr>
        <w:t>COURSE OUTLINE 201</w:t>
      </w:r>
      <w:r>
        <w:rPr>
          <w:rFonts w:cs="Arial"/>
          <w:b/>
          <w:bCs/>
        </w:rPr>
        <w:t>9-20</w:t>
      </w:r>
    </w:p>
    <w:p w:rsidR="007A7E8C" w:rsidRPr="004C59A4" w:rsidRDefault="007A7E8C" w:rsidP="007A7E8C">
      <w:pPr>
        <w:pStyle w:val="NormalWeb"/>
        <w:spacing w:before="0" w:beforeAutospacing="0" w:after="0" w:afterAutospacing="0" w:line="276" w:lineRule="auto"/>
        <w:rPr>
          <w:rFonts w:asciiTheme="minorHAnsi" w:hAnsiTheme="minorHAnsi"/>
          <w:sz w:val="22"/>
          <w:szCs w:val="22"/>
        </w:rPr>
      </w:pPr>
    </w:p>
    <w:tbl>
      <w:tblPr>
        <w:tblW w:w="545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2"/>
        <w:gridCol w:w="2441"/>
        <w:gridCol w:w="1950"/>
        <w:gridCol w:w="908"/>
        <w:gridCol w:w="2586"/>
      </w:tblGrid>
      <w:tr w:rsidR="007A7E8C" w:rsidRPr="004C59A4"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rPr>
            </w:pPr>
            <w:r w:rsidRPr="004C59A4">
              <w:rPr>
                <w:rFonts w:cs="Arial"/>
                <w:b/>
              </w:rPr>
              <w:t>Objective</w:t>
            </w:r>
          </w:p>
        </w:tc>
        <w:tc>
          <w:tcPr>
            <w:tcW w:w="4012" w:type="pct"/>
            <w:gridSpan w:val="4"/>
            <w:tcBorders>
              <w:top w:val="single" w:sz="4" w:space="0" w:color="auto"/>
              <w:left w:val="single" w:sz="4" w:space="0" w:color="auto"/>
              <w:bottom w:val="single" w:sz="4" w:space="0" w:color="auto"/>
              <w:right w:val="single" w:sz="4" w:space="0" w:color="auto"/>
            </w:tcBorders>
            <w:vAlign w:val="center"/>
          </w:tcPr>
          <w:p w:rsidR="007A7E8C" w:rsidRPr="004C59A4" w:rsidRDefault="007A7E8C" w:rsidP="005047CE">
            <w:pPr>
              <w:spacing w:after="0"/>
            </w:pPr>
            <w:r>
              <w:t>To explore, critically analyse and monitor th</w:t>
            </w:r>
            <w:r w:rsidR="003746C2">
              <w:t>e Common European Asylum System</w:t>
            </w:r>
          </w:p>
        </w:tc>
      </w:tr>
      <w:tr w:rsidR="007A7E8C" w:rsidRPr="004C59A4" w:rsidTr="005047CE">
        <w:trPr>
          <w:trHeight w:val="134"/>
        </w:trPr>
        <w:tc>
          <w:tcPr>
            <w:tcW w:w="988" w:type="pct"/>
            <w:vMerge w:val="restart"/>
            <w:tcBorders>
              <w:top w:val="single" w:sz="4" w:space="0" w:color="auto"/>
              <w:left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rPr>
            </w:pPr>
            <w:r w:rsidRPr="004C59A4">
              <w:rPr>
                <w:rFonts w:cs="Arial"/>
                <w:b/>
              </w:rPr>
              <w:t>Lecturer</w:t>
            </w:r>
          </w:p>
        </w:tc>
        <w:tc>
          <w:tcPr>
            <w:tcW w:w="1242" w:type="pct"/>
            <w:tcBorders>
              <w:top w:val="single" w:sz="4" w:space="0" w:color="auto"/>
              <w:left w:val="single" w:sz="4" w:space="0" w:color="auto"/>
              <w:bottom w:val="nil"/>
              <w:right w:val="nil"/>
            </w:tcBorders>
            <w:shd w:val="clear" w:color="auto" w:fill="FFFFFF" w:themeFill="background1"/>
          </w:tcPr>
          <w:p w:rsidR="007A7E8C" w:rsidRPr="004C59A4" w:rsidRDefault="007A7E8C" w:rsidP="005047CE">
            <w:pPr>
              <w:tabs>
                <w:tab w:val="left" w:pos="-720"/>
              </w:tabs>
              <w:spacing w:after="0"/>
              <w:ind w:right="85"/>
              <w:rPr>
                <w:b/>
              </w:rPr>
            </w:pPr>
            <w:r w:rsidRPr="004C59A4">
              <w:rPr>
                <w:b/>
              </w:rPr>
              <w:t>Name</w:t>
            </w:r>
          </w:p>
        </w:tc>
        <w:tc>
          <w:tcPr>
            <w:tcW w:w="992" w:type="pct"/>
            <w:tcBorders>
              <w:top w:val="single" w:sz="4" w:space="0" w:color="auto"/>
              <w:left w:val="nil"/>
              <w:bottom w:val="nil"/>
              <w:right w:val="nil"/>
            </w:tcBorders>
            <w:shd w:val="clear" w:color="auto" w:fill="FFFFFF" w:themeFill="background1"/>
          </w:tcPr>
          <w:p w:rsidR="007A7E8C" w:rsidRPr="004C59A4" w:rsidRDefault="007A7E8C" w:rsidP="005047CE">
            <w:pPr>
              <w:tabs>
                <w:tab w:val="left" w:pos="-720"/>
              </w:tabs>
              <w:spacing w:after="0"/>
              <w:ind w:right="85" w:firstLine="314"/>
              <w:rPr>
                <w:b/>
              </w:rPr>
            </w:pPr>
            <w:r w:rsidRPr="004C59A4">
              <w:rPr>
                <w:b/>
              </w:rPr>
              <w:t>Office</w:t>
            </w:r>
          </w:p>
        </w:tc>
        <w:tc>
          <w:tcPr>
            <w:tcW w:w="462" w:type="pct"/>
            <w:tcBorders>
              <w:top w:val="single" w:sz="4" w:space="0" w:color="auto"/>
              <w:left w:val="nil"/>
              <w:bottom w:val="nil"/>
              <w:right w:val="nil"/>
            </w:tcBorders>
            <w:shd w:val="clear" w:color="auto" w:fill="FFFFFF" w:themeFill="background1"/>
          </w:tcPr>
          <w:p w:rsidR="007A7E8C" w:rsidRPr="004C59A4" w:rsidRDefault="007A7E8C" w:rsidP="005047CE">
            <w:pPr>
              <w:tabs>
                <w:tab w:val="left" w:pos="-720"/>
              </w:tabs>
              <w:spacing w:after="0"/>
              <w:ind w:right="85"/>
              <w:rPr>
                <w:b/>
              </w:rPr>
            </w:pPr>
            <w:r w:rsidRPr="004C59A4">
              <w:rPr>
                <w:b/>
              </w:rPr>
              <w:t>Ext</w:t>
            </w:r>
          </w:p>
        </w:tc>
        <w:tc>
          <w:tcPr>
            <w:tcW w:w="1316" w:type="pct"/>
            <w:tcBorders>
              <w:top w:val="single" w:sz="4" w:space="0" w:color="auto"/>
              <w:left w:val="nil"/>
              <w:bottom w:val="nil"/>
              <w:right w:val="single" w:sz="4" w:space="0" w:color="auto"/>
            </w:tcBorders>
            <w:shd w:val="clear" w:color="auto" w:fill="FFFFFF" w:themeFill="background1"/>
          </w:tcPr>
          <w:p w:rsidR="007A7E8C" w:rsidRPr="004C59A4" w:rsidRDefault="007A7E8C" w:rsidP="005047CE">
            <w:pPr>
              <w:tabs>
                <w:tab w:val="left" w:pos="-720"/>
              </w:tabs>
              <w:spacing w:after="0"/>
              <w:ind w:right="85"/>
              <w:rPr>
                <w:b/>
              </w:rPr>
            </w:pPr>
            <w:r w:rsidRPr="004C59A4">
              <w:rPr>
                <w:b/>
              </w:rPr>
              <w:t>E-mail</w:t>
            </w:r>
          </w:p>
        </w:tc>
      </w:tr>
      <w:tr w:rsidR="007A7E8C" w:rsidRPr="004C59A4" w:rsidTr="005047CE">
        <w:trPr>
          <w:trHeight w:val="133"/>
        </w:trPr>
        <w:tc>
          <w:tcPr>
            <w:tcW w:w="988" w:type="pct"/>
            <w:vMerge/>
            <w:tcBorders>
              <w:left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b/>
              </w:rPr>
            </w:pPr>
          </w:p>
        </w:tc>
        <w:tc>
          <w:tcPr>
            <w:tcW w:w="1242" w:type="pct"/>
            <w:tcBorders>
              <w:top w:val="nil"/>
              <w:left w:val="single" w:sz="4" w:space="0" w:color="auto"/>
              <w:bottom w:val="nil"/>
              <w:right w:val="nil"/>
            </w:tcBorders>
            <w:shd w:val="clear" w:color="auto" w:fill="FFFFFF" w:themeFill="background1"/>
          </w:tcPr>
          <w:p w:rsidR="007A7E8C" w:rsidRPr="004C59A4" w:rsidRDefault="007A7E8C" w:rsidP="005047CE">
            <w:pPr>
              <w:tabs>
                <w:tab w:val="left" w:pos="-720"/>
              </w:tabs>
              <w:spacing w:after="0"/>
              <w:ind w:right="-246"/>
            </w:pPr>
            <w:r w:rsidRPr="004C59A4">
              <w:t>Dr. Ciara Smyth</w:t>
            </w:r>
          </w:p>
        </w:tc>
        <w:tc>
          <w:tcPr>
            <w:tcW w:w="992" w:type="pct"/>
            <w:tcBorders>
              <w:top w:val="nil"/>
              <w:left w:val="nil"/>
              <w:bottom w:val="nil"/>
              <w:right w:val="nil"/>
            </w:tcBorders>
            <w:shd w:val="clear" w:color="auto" w:fill="FFFFFF" w:themeFill="background1"/>
          </w:tcPr>
          <w:p w:rsidR="007A7E8C" w:rsidRPr="004C59A4" w:rsidRDefault="007A7E8C" w:rsidP="005047CE">
            <w:pPr>
              <w:tabs>
                <w:tab w:val="left" w:pos="-720"/>
              </w:tabs>
              <w:spacing w:after="0"/>
              <w:ind w:right="85"/>
            </w:pPr>
            <w:r w:rsidRPr="004C59A4">
              <w:t>Law School, Room 414, Floor 2, Tower 2, Main concourse</w:t>
            </w:r>
          </w:p>
        </w:tc>
        <w:tc>
          <w:tcPr>
            <w:tcW w:w="462" w:type="pct"/>
            <w:tcBorders>
              <w:top w:val="nil"/>
              <w:left w:val="nil"/>
              <w:bottom w:val="nil"/>
              <w:right w:val="nil"/>
            </w:tcBorders>
            <w:shd w:val="clear" w:color="auto" w:fill="FFFFFF" w:themeFill="background1"/>
          </w:tcPr>
          <w:p w:rsidR="007A7E8C" w:rsidRPr="004C59A4" w:rsidRDefault="007A7E8C" w:rsidP="005047CE">
            <w:pPr>
              <w:tabs>
                <w:tab w:val="left" w:pos="-720"/>
              </w:tabs>
              <w:spacing w:after="0"/>
              <w:ind w:left="-257" w:right="85" w:firstLine="257"/>
            </w:pPr>
            <w:r w:rsidRPr="004C59A4">
              <w:t>2937</w:t>
            </w:r>
          </w:p>
          <w:p w:rsidR="007A7E8C" w:rsidRPr="004C59A4" w:rsidRDefault="007A7E8C" w:rsidP="005047CE">
            <w:pPr>
              <w:tabs>
                <w:tab w:val="left" w:pos="-720"/>
              </w:tabs>
              <w:spacing w:after="0"/>
              <w:ind w:right="85"/>
            </w:pPr>
          </w:p>
        </w:tc>
        <w:tc>
          <w:tcPr>
            <w:tcW w:w="1316" w:type="pct"/>
            <w:tcBorders>
              <w:top w:val="nil"/>
              <w:left w:val="nil"/>
              <w:bottom w:val="nil"/>
              <w:right w:val="single" w:sz="4" w:space="0" w:color="auto"/>
            </w:tcBorders>
            <w:shd w:val="clear" w:color="auto" w:fill="FFFFFF" w:themeFill="background1"/>
          </w:tcPr>
          <w:p w:rsidR="007A7E8C" w:rsidRPr="004C59A4" w:rsidRDefault="00D95EDF" w:rsidP="005047CE">
            <w:pPr>
              <w:tabs>
                <w:tab w:val="left" w:pos="-720"/>
              </w:tabs>
              <w:spacing w:after="0"/>
              <w:ind w:right="85"/>
            </w:pPr>
            <w:hyperlink r:id="rId7" w:history="1">
              <w:r w:rsidR="007A7E8C" w:rsidRPr="004C59A4">
                <w:rPr>
                  <w:rStyle w:val="Hyperlink"/>
                </w:rPr>
                <w:t>ciara.m.smyth@nuigalway.ie</w:t>
              </w:r>
            </w:hyperlink>
          </w:p>
          <w:p w:rsidR="007A7E8C" w:rsidRPr="004C59A4" w:rsidRDefault="007A7E8C" w:rsidP="005047CE">
            <w:pPr>
              <w:tabs>
                <w:tab w:val="left" w:pos="-720"/>
              </w:tabs>
              <w:spacing w:after="0"/>
              <w:ind w:right="85"/>
            </w:pPr>
          </w:p>
        </w:tc>
      </w:tr>
      <w:tr w:rsidR="007A7E8C" w:rsidRPr="004C59A4" w:rsidTr="005047CE">
        <w:trPr>
          <w:trHeight w:val="133"/>
        </w:trPr>
        <w:tc>
          <w:tcPr>
            <w:tcW w:w="988" w:type="pct"/>
            <w:vMerge/>
            <w:tcBorders>
              <w:left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b/>
              </w:rPr>
            </w:pPr>
          </w:p>
        </w:tc>
        <w:tc>
          <w:tcPr>
            <w:tcW w:w="1242" w:type="pct"/>
            <w:tcBorders>
              <w:top w:val="nil"/>
              <w:left w:val="single" w:sz="4" w:space="0" w:color="auto"/>
              <w:bottom w:val="nil"/>
              <w:right w:val="nil"/>
            </w:tcBorders>
            <w:shd w:val="clear" w:color="auto" w:fill="FFFFFF" w:themeFill="background1"/>
          </w:tcPr>
          <w:p w:rsidR="007A7E8C" w:rsidRPr="004C59A4" w:rsidRDefault="007A7E8C" w:rsidP="005047CE">
            <w:pPr>
              <w:tabs>
                <w:tab w:val="left" w:pos="-720"/>
              </w:tabs>
              <w:spacing w:after="0"/>
              <w:ind w:right="85"/>
              <w:rPr>
                <w:rFonts w:cs="Arial"/>
              </w:rPr>
            </w:pPr>
          </w:p>
        </w:tc>
        <w:tc>
          <w:tcPr>
            <w:tcW w:w="992" w:type="pct"/>
            <w:tcBorders>
              <w:top w:val="nil"/>
              <w:left w:val="nil"/>
              <w:bottom w:val="nil"/>
              <w:right w:val="nil"/>
            </w:tcBorders>
            <w:shd w:val="clear" w:color="auto" w:fill="FFFFFF" w:themeFill="background1"/>
          </w:tcPr>
          <w:p w:rsidR="007A7E8C" w:rsidRPr="004C59A4" w:rsidRDefault="007A7E8C" w:rsidP="005047CE">
            <w:pPr>
              <w:tabs>
                <w:tab w:val="left" w:pos="-720"/>
              </w:tabs>
              <w:spacing w:after="0"/>
              <w:ind w:right="85"/>
              <w:rPr>
                <w:rFonts w:cs="Arial"/>
              </w:rPr>
            </w:pPr>
          </w:p>
        </w:tc>
        <w:tc>
          <w:tcPr>
            <w:tcW w:w="462" w:type="pct"/>
            <w:tcBorders>
              <w:top w:val="nil"/>
              <w:left w:val="nil"/>
              <w:bottom w:val="nil"/>
              <w:right w:val="nil"/>
            </w:tcBorders>
            <w:shd w:val="clear" w:color="auto" w:fill="FFFFFF" w:themeFill="background1"/>
          </w:tcPr>
          <w:p w:rsidR="007A7E8C" w:rsidRPr="004C59A4" w:rsidRDefault="007A7E8C" w:rsidP="005047CE">
            <w:pPr>
              <w:tabs>
                <w:tab w:val="left" w:pos="-720"/>
              </w:tabs>
              <w:spacing w:after="0"/>
              <w:ind w:right="85"/>
              <w:rPr>
                <w:rFonts w:cs="Arial"/>
              </w:rPr>
            </w:pPr>
          </w:p>
        </w:tc>
        <w:tc>
          <w:tcPr>
            <w:tcW w:w="1316" w:type="pct"/>
            <w:tcBorders>
              <w:top w:val="nil"/>
              <w:left w:val="nil"/>
              <w:bottom w:val="nil"/>
              <w:right w:val="single" w:sz="4" w:space="0" w:color="auto"/>
            </w:tcBorders>
            <w:shd w:val="clear" w:color="auto" w:fill="FFFFFF" w:themeFill="background1"/>
          </w:tcPr>
          <w:p w:rsidR="007A7E8C" w:rsidRPr="004C59A4" w:rsidRDefault="007A7E8C" w:rsidP="005047CE">
            <w:pPr>
              <w:tabs>
                <w:tab w:val="left" w:pos="-720"/>
              </w:tabs>
              <w:spacing w:after="0"/>
              <w:ind w:right="85"/>
              <w:rPr>
                <w:rFonts w:cs="Arial"/>
              </w:rPr>
            </w:pPr>
          </w:p>
        </w:tc>
      </w:tr>
      <w:tr w:rsidR="003746C2" w:rsidRPr="004C59A4"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3746C2" w:rsidRPr="004C59A4" w:rsidRDefault="003746C2" w:rsidP="005047CE">
            <w:pPr>
              <w:tabs>
                <w:tab w:val="left" w:pos="-720"/>
              </w:tabs>
              <w:spacing w:after="0"/>
              <w:ind w:right="84"/>
              <w:jc w:val="center"/>
              <w:rPr>
                <w:rFonts w:cs="Arial"/>
                <w:b/>
              </w:rPr>
            </w:pPr>
            <w:r>
              <w:rPr>
                <w:rFonts w:cs="Arial"/>
                <w:b/>
              </w:rPr>
              <w:t>Times</w:t>
            </w:r>
          </w:p>
        </w:tc>
        <w:tc>
          <w:tcPr>
            <w:tcW w:w="4012" w:type="pct"/>
            <w:gridSpan w:val="4"/>
            <w:tcBorders>
              <w:top w:val="single" w:sz="4" w:space="0" w:color="auto"/>
              <w:left w:val="single" w:sz="4" w:space="0" w:color="auto"/>
              <w:bottom w:val="single" w:sz="4" w:space="0" w:color="auto"/>
              <w:right w:val="single" w:sz="4" w:space="0" w:color="auto"/>
            </w:tcBorders>
          </w:tcPr>
          <w:p w:rsidR="001966F6" w:rsidRDefault="003746C2" w:rsidP="005047CE">
            <w:pPr>
              <w:tabs>
                <w:tab w:val="right" w:pos="-720"/>
                <w:tab w:val="left" w:pos="0"/>
                <w:tab w:val="num" w:pos="1080"/>
                <w:tab w:val="left" w:pos="3616"/>
              </w:tabs>
              <w:spacing w:after="0"/>
              <w:ind w:right="85"/>
              <w:rPr>
                <w:rFonts w:cs="Arial"/>
              </w:rPr>
            </w:pPr>
            <w:r>
              <w:rPr>
                <w:rFonts w:cs="Arial"/>
              </w:rPr>
              <w:t>Weeks 9-12, Semester 2, Wednesdays, 10</w:t>
            </w:r>
            <w:r w:rsidR="001966F6">
              <w:rPr>
                <w:rFonts w:cs="Arial"/>
              </w:rPr>
              <w:t>am</w:t>
            </w:r>
            <w:r>
              <w:rPr>
                <w:rFonts w:cs="Arial"/>
              </w:rPr>
              <w:t>-1</w:t>
            </w:r>
            <w:r w:rsidR="001966F6">
              <w:rPr>
                <w:rFonts w:cs="Arial"/>
              </w:rPr>
              <w:t>pm</w:t>
            </w:r>
          </w:p>
          <w:p w:rsidR="003746C2" w:rsidRPr="004C59A4" w:rsidRDefault="003746C2" w:rsidP="005047CE">
            <w:pPr>
              <w:tabs>
                <w:tab w:val="right" w:pos="-720"/>
                <w:tab w:val="left" w:pos="0"/>
                <w:tab w:val="num" w:pos="1080"/>
                <w:tab w:val="left" w:pos="3616"/>
              </w:tabs>
              <w:spacing w:after="0"/>
              <w:ind w:right="85"/>
              <w:rPr>
                <w:rFonts w:cs="Arial"/>
              </w:rPr>
            </w:pPr>
            <w:r>
              <w:rPr>
                <w:rFonts w:cs="Arial"/>
              </w:rPr>
              <w:t>Seminar Room, Irish Centre for Human Rights</w:t>
            </w:r>
          </w:p>
        </w:tc>
      </w:tr>
      <w:tr w:rsidR="007A7E8C" w:rsidRPr="004C59A4"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b/>
              </w:rPr>
            </w:pPr>
            <w:r w:rsidRPr="004C59A4">
              <w:rPr>
                <w:rFonts w:cs="Arial"/>
                <w:b/>
              </w:rPr>
              <w:t>Learning Outcomes</w:t>
            </w:r>
          </w:p>
        </w:tc>
        <w:tc>
          <w:tcPr>
            <w:tcW w:w="4012" w:type="pct"/>
            <w:gridSpan w:val="4"/>
            <w:tcBorders>
              <w:top w:val="single" w:sz="4" w:space="0" w:color="auto"/>
              <w:left w:val="single" w:sz="4" w:space="0" w:color="auto"/>
              <w:bottom w:val="single" w:sz="4" w:space="0" w:color="auto"/>
              <w:right w:val="single" w:sz="4" w:space="0" w:color="auto"/>
            </w:tcBorders>
          </w:tcPr>
          <w:p w:rsidR="007A7E8C" w:rsidRPr="004C59A4" w:rsidRDefault="007A7E8C" w:rsidP="005047CE">
            <w:pPr>
              <w:tabs>
                <w:tab w:val="right" w:pos="-720"/>
                <w:tab w:val="left" w:pos="0"/>
                <w:tab w:val="num" w:pos="1080"/>
                <w:tab w:val="left" w:pos="3616"/>
              </w:tabs>
              <w:spacing w:after="0"/>
              <w:ind w:right="85"/>
              <w:rPr>
                <w:rFonts w:cs="Arial"/>
              </w:rPr>
            </w:pPr>
            <w:r w:rsidRPr="004C59A4">
              <w:rPr>
                <w:rFonts w:cs="Arial"/>
              </w:rPr>
              <w:t>At the end of this course you should be able to:</w:t>
            </w:r>
          </w:p>
          <w:p w:rsidR="007A7E8C" w:rsidRDefault="007A7E8C" w:rsidP="007A7E8C">
            <w:pPr>
              <w:pStyle w:val="ListParagraph"/>
              <w:numPr>
                <w:ilvl w:val="0"/>
                <w:numId w:val="10"/>
              </w:numPr>
              <w:spacing w:after="0" w:line="240" w:lineRule="auto"/>
            </w:pPr>
            <w:r>
              <w:t>Articulate the scope of the key instruments of the CEAS</w:t>
            </w:r>
          </w:p>
          <w:p w:rsidR="007A7E8C" w:rsidRDefault="007A7E8C" w:rsidP="007A7E8C">
            <w:pPr>
              <w:pStyle w:val="ListParagraph"/>
              <w:numPr>
                <w:ilvl w:val="0"/>
                <w:numId w:val="10"/>
              </w:numPr>
              <w:spacing w:after="0" w:line="240" w:lineRule="auto"/>
            </w:pPr>
            <w:r>
              <w:t>Demonstrate an awareness of how these instruments have been interpreted by the Court of Justice of the EU</w:t>
            </w:r>
          </w:p>
          <w:p w:rsidR="007A7E8C" w:rsidRDefault="007A7E8C" w:rsidP="007A7E8C">
            <w:pPr>
              <w:pStyle w:val="ListParagraph"/>
              <w:numPr>
                <w:ilvl w:val="0"/>
                <w:numId w:val="10"/>
              </w:numPr>
              <w:spacing w:after="0" w:line="240" w:lineRule="auto"/>
            </w:pPr>
            <w:r>
              <w:t>Discuss and critically analyse the proposed changes to these instruments</w:t>
            </w:r>
          </w:p>
          <w:p w:rsidR="007A7E8C" w:rsidRDefault="007A7E8C" w:rsidP="007A7E8C">
            <w:pPr>
              <w:pStyle w:val="ListParagraph"/>
              <w:numPr>
                <w:ilvl w:val="0"/>
                <w:numId w:val="10"/>
              </w:numPr>
              <w:spacing w:after="0" w:line="240" w:lineRule="auto"/>
            </w:pPr>
            <w:r>
              <w:t>Have an informed view of the EU’s response to the so-called ‘refugee crisis’</w:t>
            </w:r>
          </w:p>
          <w:p w:rsidR="007A7E8C" w:rsidRPr="007A7E8C" w:rsidRDefault="007A7E8C" w:rsidP="007A7E8C">
            <w:pPr>
              <w:pStyle w:val="ListParagraph"/>
              <w:numPr>
                <w:ilvl w:val="0"/>
                <w:numId w:val="10"/>
              </w:numPr>
              <w:spacing w:after="0" w:line="240" w:lineRule="auto"/>
            </w:pPr>
            <w:r>
              <w:t>Place in the CEAS in broader context by showing how it has influenced international refugee protection</w:t>
            </w:r>
          </w:p>
        </w:tc>
      </w:tr>
      <w:tr w:rsidR="007A7E8C" w:rsidRPr="004C59A4" w:rsidTr="005047CE">
        <w:trPr>
          <w:trHeight w:val="766"/>
        </w:trPr>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rPr>
            </w:pPr>
            <w:r w:rsidRPr="004C59A4">
              <w:rPr>
                <w:rFonts w:cs="Arial"/>
                <w:b/>
              </w:rPr>
              <w:t>Format</w:t>
            </w:r>
          </w:p>
        </w:tc>
        <w:tc>
          <w:tcPr>
            <w:tcW w:w="4012" w:type="pct"/>
            <w:gridSpan w:val="4"/>
            <w:tcBorders>
              <w:top w:val="single" w:sz="4" w:space="0" w:color="auto"/>
              <w:left w:val="single" w:sz="4" w:space="0" w:color="auto"/>
              <w:bottom w:val="single" w:sz="4" w:space="0" w:color="auto"/>
              <w:right w:val="single" w:sz="4" w:space="0" w:color="auto"/>
            </w:tcBorders>
            <w:vAlign w:val="center"/>
          </w:tcPr>
          <w:p w:rsidR="007A7E8C" w:rsidRPr="004C59A4" w:rsidRDefault="007A7E8C" w:rsidP="007A7E8C">
            <w:pPr>
              <w:tabs>
                <w:tab w:val="left" w:pos="-720"/>
              </w:tabs>
              <w:spacing w:after="0"/>
              <w:ind w:right="85"/>
            </w:pPr>
            <w:r w:rsidRPr="004C59A4">
              <w:t xml:space="preserve">The course will be taught by way of </w:t>
            </w:r>
            <w:r w:rsidR="001966F6">
              <w:t>four</w:t>
            </w:r>
            <w:r w:rsidRPr="004C59A4">
              <w:t xml:space="preserve"> weekly seminars, conducted over </w:t>
            </w:r>
            <w:r>
              <w:t>three</w:t>
            </w:r>
            <w:r w:rsidRPr="004C59A4">
              <w:t xml:space="preserve"> hours. Attendance is required. You are hereby given a detailed outline of all the seminars with the assigned readings for the course. You are expected to do the reading in advance and are encouraged to express your understanding/views and engage in active </w:t>
            </w:r>
            <w:r>
              <w:t>discussion.  Guest speakers may</w:t>
            </w:r>
            <w:r w:rsidRPr="004C59A4">
              <w:t xml:space="preserve"> contribute to some of the seminars.</w:t>
            </w:r>
          </w:p>
        </w:tc>
      </w:tr>
      <w:tr w:rsidR="007A7E8C" w:rsidRPr="004C59A4" w:rsidTr="005047CE">
        <w:trPr>
          <w:trHeight w:val="766"/>
        </w:trPr>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b/>
              </w:rPr>
            </w:pPr>
            <w:r w:rsidRPr="004C59A4">
              <w:rPr>
                <w:rFonts w:cs="Arial"/>
                <w:b/>
              </w:rPr>
              <w:t>Programme(s)</w:t>
            </w:r>
          </w:p>
        </w:tc>
        <w:tc>
          <w:tcPr>
            <w:tcW w:w="4012" w:type="pct"/>
            <w:gridSpan w:val="4"/>
            <w:tcBorders>
              <w:top w:val="single" w:sz="4" w:space="0" w:color="auto"/>
              <w:left w:val="single" w:sz="4" w:space="0" w:color="auto"/>
              <w:bottom w:val="single" w:sz="4" w:space="0" w:color="auto"/>
              <w:right w:val="single" w:sz="4" w:space="0" w:color="auto"/>
            </w:tcBorders>
            <w:vAlign w:val="center"/>
          </w:tcPr>
          <w:p w:rsidR="007A7E8C" w:rsidRDefault="007A7E8C" w:rsidP="005047CE">
            <w:pPr>
              <w:tabs>
                <w:tab w:val="left" w:pos="-720"/>
              </w:tabs>
              <w:spacing w:after="0"/>
              <w:ind w:right="85"/>
            </w:pPr>
            <w:r>
              <w:t>LL.M in International Migration and Refugee Law and Policy</w:t>
            </w:r>
          </w:p>
          <w:p w:rsidR="007A7E8C" w:rsidRPr="004C59A4" w:rsidRDefault="007A7E8C" w:rsidP="005047CE">
            <w:pPr>
              <w:tabs>
                <w:tab w:val="left" w:pos="-720"/>
              </w:tabs>
              <w:spacing w:after="0"/>
              <w:ind w:right="85"/>
            </w:pPr>
            <w:r>
              <w:t>LL.Ms in the Irish Centre for Human Rights and School of Law</w:t>
            </w:r>
          </w:p>
        </w:tc>
      </w:tr>
      <w:tr w:rsidR="007A7E8C" w:rsidRPr="004C59A4" w:rsidTr="005047CE">
        <w:trPr>
          <w:trHeight w:val="766"/>
        </w:trPr>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b/>
              </w:rPr>
            </w:pPr>
            <w:r w:rsidRPr="004C59A4">
              <w:rPr>
                <w:rFonts w:cs="Arial"/>
                <w:b/>
              </w:rPr>
              <w:t>Course Material</w:t>
            </w:r>
          </w:p>
        </w:tc>
        <w:tc>
          <w:tcPr>
            <w:tcW w:w="4012" w:type="pct"/>
            <w:gridSpan w:val="4"/>
            <w:tcBorders>
              <w:top w:val="single" w:sz="4" w:space="0" w:color="auto"/>
              <w:left w:val="single" w:sz="4" w:space="0" w:color="auto"/>
              <w:bottom w:val="single" w:sz="4" w:space="0" w:color="auto"/>
              <w:right w:val="single" w:sz="4" w:space="0" w:color="auto"/>
            </w:tcBorders>
            <w:vAlign w:val="center"/>
          </w:tcPr>
          <w:p w:rsidR="007A7E8C" w:rsidRPr="004C59A4" w:rsidRDefault="007A7E8C" w:rsidP="005047CE">
            <w:pPr>
              <w:tabs>
                <w:tab w:val="left" w:pos="-720"/>
              </w:tabs>
              <w:spacing w:after="0"/>
              <w:ind w:right="85"/>
            </w:pPr>
            <w:r w:rsidRPr="004C59A4">
              <w:t>See weekly readings (below)</w:t>
            </w:r>
          </w:p>
          <w:p w:rsidR="007A7E8C" w:rsidRPr="004C59A4" w:rsidRDefault="007A7E8C" w:rsidP="005047CE">
            <w:pPr>
              <w:tabs>
                <w:tab w:val="left" w:pos="-720"/>
              </w:tabs>
              <w:spacing w:after="0"/>
              <w:ind w:right="85"/>
              <w:jc w:val="both"/>
              <w:rPr>
                <w:rFonts w:cs="Arial"/>
              </w:rPr>
            </w:pPr>
          </w:p>
        </w:tc>
      </w:tr>
      <w:tr w:rsidR="007A7E8C" w:rsidRPr="004C59A4"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b/>
              </w:rPr>
            </w:pPr>
            <w:r w:rsidRPr="004C59A4">
              <w:rPr>
                <w:rFonts w:cs="Arial"/>
                <w:b/>
              </w:rPr>
              <w:t>Core Text</w:t>
            </w:r>
          </w:p>
        </w:tc>
        <w:tc>
          <w:tcPr>
            <w:tcW w:w="4012" w:type="pct"/>
            <w:gridSpan w:val="4"/>
            <w:tcBorders>
              <w:top w:val="single" w:sz="4" w:space="0" w:color="auto"/>
              <w:left w:val="single" w:sz="4" w:space="0" w:color="auto"/>
              <w:bottom w:val="single" w:sz="4" w:space="0" w:color="auto"/>
              <w:right w:val="single" w:sz="4" w:space="0" w:color="auto"/>
            </w:tcBorders>
          </w:tcPr>
          <w:p w:rsidR="007A7E8C" w:rsidRPr="00AC608C" w:rsidRDefault="007A7E8C" w:rsidP="007A7E8C">
            <w:pPr>
              <w:pStyle w:val="ListParagraph"/>
              <w:numPr>
                <w:ilvl w:val="0"/>
                <w:numId w:val="15"/>
              </w:numPr>
              <w:spacing w:after="0" w:line="240" w:lineRule="auto"/>
              <w:rPr>
                <w:rFonts w:eastAsia="Times New Roman" w:cs="Times New Roman"/>
                <w:lang w:eastAsia="en-IE"/>
              </w:rPr>
            </w:pPr>
            <w:r w:rsidRPr="00AC608C">
              <w:rPr>
                <w:rFonts w:eastAsia="Times New Roman" w:cs="Times New Roman"/>
                <w:lang w:eastAsia="en-IE"/>
              </w:rPr>
              <w:t xml:space="preserve">Cathryn Costello, </w:t>
            </w:r>
            <w:r w:rsidRPr="00AC608C">
              <w:rPr>
                <w:rFonts w:eastAsia="Times New Roman" w:cs="Times New Roman"/>
                <w:i/>
                <w:lang w:eastAsia="en-IE"/>
              </w:rPr>
              <w:t>The Human Rights of Migrants and Refugees in European Law</w:t>
            </w:r>
            <w:r w:rsidRPr="00AC608C">
              <w:rPr>
                <w:rFonts w:eastAsia="Times New Roman" w:cs="Times New Roman"/>
                <w:lang w:eastAsia="en-IE"/>
              </w:rPr>
              <w:t>, Oxford University Press, 2017, 9780199644742</w:t>
            </w:r>
          </w:p>
          <w:p w:rsidR="007A7E8C" w:rsidRPr="004C59A4" w:rsidRDefault="007A7E8C" w:rsidP="007A7E8C">
            <w:pPr>
              <w:pStyle w:val="ListParagraph"/>
              <w:numPr>
                <w:ilvl w:val="0"/>
                <w:numId w:val="15"/>
              </w:numPr>
              <w:spacing w:after="0"/>
              <w:rPr>
                <w:color w:val="000000"/>
              </w:rPr>
            </w:pPr>
            <w:r w:rsidRPr="00AC608C">
              <w:rPr>
                <w:rFonts w:eastAsia="Times New Roman" w:cs="Times New Roman"/>
                <w:lang w:eastAsia="en-IE"/>
              </w:rPr>
              <w:t xml:space="preserve">Vincent Chetail, Philippe De Bruycher and Francesco Maiani (eds) </w:t>
            </w:r>
            <w:r w:rsidRPr="00AC608C">
              <w:rPr>
                <w:rFonts w:eastAsia="Times New Roman" w:cs="Times New Roman"/>
                <w:i/>
                <w:lang w:eastAsia="en-IE"/>
              </w:rPr>
              <w:t>Reforming the Common European Asylum System: the New European Refugee Law</w:t>
            </w:r>
            <w:r w:rsidRPr="00AC608C">
              <w:rPr>
                <w:rFonts w:eastAsia="Times New Roman" w:cs="Times New Roman"/>
                <w:lang w:eastAsia="en-IE"/>
              </w:rPr>
              <w:t>, Brill Nijhoff: Leiden and Boston, 2016, 9789040308657</w:t>
            </w:r>
          </w:p>
        </w:tc>
      </w:tr>
      <w:tr w:rsidR="007A7E8C" w:rsidRPr="004C59A4" w:rsidTr="005047CE">
        <w:trPr>
          <w:trHeight w:val="766"/>
        </w:trPr>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b/>
              </w:rPr>
            </w:pPr>
            <w:r w:rsidRPr="004C59A4">
              <w:rPr>
                <w:rFonts w:cs="Arial"/>
                <w:b/>
              </w:rPr>
              <w:t>Supplementary Texts</w:t>
            </w:r>
          </w:p>
        </w:tc>
        <w:tc>
          <w:tcPr>
            <w:tcW w:w="4012" w:type="pct"/>
            <w:gridSpan w:val="4"/>
            <w:tcBorders>
              <w:top w:val="single" w:sz="4" w:space="0" w:color="auto"/>
              <w:left w:val="single" w:sz="4" w:space="0" w:color="auto"/>
              <w:bottom w:val="single" w:sz="4" w:space="0" w:color="auto"/>
              <w:right w:val="single" w:sz="4" w:space="0" w:color="auto"/>
            </w:tcBorders>
            <w:vAlign w:val="center"/>
          </w:tcPr>
          <w:p w:rsidR="007A7E8C" w:rsidRPr="004C59A4" w:rsidRDefault="007A7E8C" w:rsidP="005047CE">
            <w:pPr>
              <w:tabs>
                <w:tab w:val="left" w:pos="-720"/>
              </w:tabs>
              <w:spacing w:after="0"/>
              <w:ind w:right="84"/>
              <w:rPr>
                <w:iCs/>
              </w:rPr>
            </w:pPr>
            <w:r w:rsidRPr="004C59A4">
              <w:rPr>
                <w:iCs/>
              </w:rPr>
              <w:t>Weekly readings (see below)</w:t>
            </w:r>
          </w:p>
        </w:tc>
      </w:tr>
      <w:tr w:rsidR="007A7E8C" w:rsidRPr="004C59A4"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b/>
              </w:rPr>
            </w:pPr>
            <w:r w:rsidRPr="004C59A4">
              <w:rPr>
                <w:rFonts w:cs="Arial"/>
                <w:b/>
              </w:rPr>
              <w:t>Assessment</w:t>
            </w:r>
          </w:p>
        </w:tc>
        <w:tc>
          <w:tcPr>
            <w:tcW w:w="4012" w:type="pct"/>
            <w:gridSpan w:val="4"/>
            <w:tcBorders>
              <w:top w:val="single" w:sz="4" w:space="0" w:color="auto"/>
              <w:left w:val="single" w:sz="4" w:space="0" w:color="auto"/>
              <w:bottom w:val="single" w:sz="4" w:space="0" w:color="auto"/>
              <w:right w:val="single" w:sz="4" w:space="0" w:color="auto"/>
            </w:tcBorders>
          </w:tcPr>
          <w:p w:rsidR="007A7E8C" w:rsidRPr="004C59A4" w:rsidRDefault="00010CF7" w:rsidP="005047CE">
            <w:pPr>
              <w:tabs>
                <w:tab w:val="left" w:pos="-720"/>
                <w:tab w:val="left" w:pos="0"/>
                <w:tab w:val="num" w:pos="1080"/>
              </w:tabs>
              <w:spacing w:after="0"/>
              <w:ind w:right="85"/>
              <w:jc w:val="both"/>
              <w:rPr>
                <w:rFonts w:cs="Arial"/>
              </w:rPr>
            </w:pPr>
            <w:r>
              <w:t>2,500 word essay</w:t>
            </w:r>
          </w:p>
        </w:tc>
      </w:tr>
      <w:tr w:rsidR="007A7E8C" w:rsidRPr="004C59A4"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b/>
              </w:rPr>
            </w:pPr>
            <w:r>
              <w:rPr>
                <w:rFonts w:cs="Arial"/>
                <w:b/>
              </w:rPr>
              <w:t>ECTS</w:t>
            </w:r>
          </w:p>
        </w:tc>
        <w:tc>
          <w:tcPr>
            <w:tcW w:w="4012" w:type="pct"/>
            <w:gridSpan w:val="4"/>
            <w:tcBorders>
              <w:top w:val="single" w:sz="4" w:space="0" w:color="auto"/>
              <w:left w:val="single" w:sz="4" w:space="0" w:color="auto"/>
              <w:bottom w:val="single" w:sz="4" w:space="0" w:color="auto"/>
              <w:right w:val="single" w:sz="4" w:space="0" w:color="auto"/>
            </w:tcBorders>
          </w:tcPr>
          <w:p w:rsidR="007A7E8C" w:rsidRPr="004C59A4" w:rsidRDefault="007A7E8C" w:rsidP="005047CE">
            <w:pPr>
              <w:tabs>
                <w:tab w:val="left" w:pos="-720"/>
                <w:tab w:val="left" w:pos="0"/>
                <w:tab w:val="num" w:pos="1080"/>
              </w:tabs>
              <w:spacing w:after="0"/>
              <w:ind w:right="85"/>
              <w:jc w:val="both"/>
            </w:pPr>
            <w:r>
              <w:t>5</w:t>
            </w:r>
          </w:p>
        </w:tc>
      </w:tr>
      <w:tr w:rsidR="007A7E8C" w:rsidRPr="004C59A4" w:rsidTr="005047CE">
        <w:tc>
          <w:tcPr>
            <w:tcW w:w="988" w:type="pct"/>
            <w:tcBorders>
              <w:top w:val="single" w:sz="4" w:space="0" w:color="auto"/>
              <w:left w:val="single" w:sz="4" w:space="0" w:color="auto"/>
              <w:bottom w:val="single" w:sz="4" w:space="0" w:color="auto"/>
              <w:right w:val="single" w:sz="4" w:space="0" w:color="auto"/>
            </w:tcBorders>
            <w:shd w:val="clear" w:color="auto" w:fill="D9D9D9"/>
            <w:vAlign w:val="center"/>
          </w:tcPr>
          <w:p w:rsidR="007A7E8C" w:rsidRPr="004C59A4" w:rsidRDefault="007A7E8C" w:rsidP="005047CE">
            <w:pPr>
              <w:tabs>
                <w:tab w:val="left" w:pos="-720"/>
              </w:tabs>
              <w:spacing w:after="0"/>
              <w:ind w:right="84"/>
              <w:jc w:val="center"/>
              <w:rPr>
                <w:rFonts w:cs="Arial"/>
                <w:b/>
              </w:rPr>
            </w:pPr>
            <w:r>
              <w:rPr>
                <w:rFonts w:cs="Arial"/>
                <w:b/>
              </w:rPr>
              <w:t xml:space="preserve">Workload </w:t>
            </w:r>
          </w:p>
        </w:tc>
        <w:tc>
          <w:tcPr>
            <w:tcW w:w="4012" w:type="pct"/>
            <w:gridSpan w:val="4"/>
            <w:tcBorders>
              <w:top w:val="single" w:sz="4" w:space="0" w:color="auto"/>
              <w:left w:val="single" w:sz="4" w:space="0" w:color="auto"/>
              <w:bottom w:val="single" w:sz="4" w:space="0" w:color="auto"/>
              <w:right w:val="single" w:sz="4" w:space="0" w:color="auto"/>
            </w:tcBorders>
          </w:tcPr>
          <w:p w:rsidR="007A7E8C" w:rsidRPr="004C59A4" w:rsidRDefault="007A7E8C" w:rsidP="005047CE">
            <w:pPr>
              <w:tabs>
                <w:tab w:val="left" w:pos="-720"/>
                <w:tab w:val="left" w:pos="0"/>
                <w:tab w:val="num" w:pos="1080"/>
              </w:tabs>
              <w:spacing w:after="0"/>
              <w:ind w:right="85"/>
              <w:jc w:val="both"/>
            </w:pPr>
            <w:r>
              <w:t>125 hours</w:t>
            </w:r>
            <w:r w:rsidR="00010CF7">
              <w:t xml:space="preserve"> of student effort</w:t>
            </w:r>
          </w:p>
        </w:tc>
      </w:tr>
    </w:tbl>
    <w:p w:rsidR="007A7E8C" w:rsidRPr="004C59A4" w:rsidRDefault="007A7E8C" w:rsidP="007A7E8C">
      <w:pPr>
        <w:pStyle w:val="Heading2"/>
        <w:spacing w:line="276" w:lineRule="auto"/>
        <w:jc w:val="left"/>
        <w:rPr>
          <w:rFonts w:asciiTheme="minorHAnsi" w:hAnsiTheme="minorHAnsi" w:cs="Arial"/>
          <w:sz w:val="22"/>
          <w:szCs w:val="22"/>
        </w:rPr>
      </w:pPr>
    </w:p>
    <w:p w:rsidR="007A7E8C" w:rsidRPr="004C59A4" w:rsidRDefault="007A7E8C" w:rsidP="007A7E8C">
      <w:pPr>
        <w:spacing w:after="0"/>
        <w:rPr>
          <w:lang w:val="en-US"/>
        </w:rPr>
      </w:pPr>
    </w:p>
    <w:p w:rsidR="007A7E8C" w:rsidRPr="004C59A4" w:rsidRDefault="007A7E8C" w:rsidP="007A7E8C">
      <w:pPr>
        <w:spacing w:after="0"/>
        <w:rPr>
          <w:b/>
        </w:rPr>
      </w:pPr>
      <w:r w:rsidRPr="004C59A4">
        <w:rPr>
          <w:b/>
        </w:rPr>
        <w:br w:type="page"/>
      </w:r>
    </w:p>
    <w:p w:rsidR="007A7E8C" w:rsidRPr="004C59A4" w:rsidRDefault="007A7E8C" w:rsidP="007A7E8C">
      <w:pPr>
        <w:spacing w:after="0"/>
        <w:rPr>
          <w:b/>
        </w:rPr>
      </w:pPr>
      <w:r w:rsidRPr="004C59A4">
        <w:rPr>
          <w:b/>
        </w:rPr>
        <w:lastRenderedPageBreak/>
        <w:t>USEFUL SOURCES OF INFORMATION AND ANALYSIS</w:t>
      </w:r>
    </w:p>
    <w:p w:rsidR="007A7E8C" w:rsidRPr="004C59A4" w:rsidRDefault="007A7E8C" w:rsidP="007A7E8C">
      <w:pPr>
        <w:spacing w:after="0"/>
        <w:rPr>
          <w:b/>
        </w:rPr>
      </w:pPr>
    </w:p>
    <w:p w:rsidR="00010CF7" w:rsidRPr="000835D4" w:rsidRDefault="00010CF7" w:rsidP="00010CF7">
      <w:pPr>
        <w:rPr>
          <w:u w:val="single"/>
        </w:rPr>
      </w:pPr>
      <w:r w:rsidRPr="000835D4">
        <w:rPr>
          <w:b/>
          <w:bCs/>
          <w:u w:val="single"/>
        </w:rPr>
        <w:t xml:space="preserve">Journals </w:t>
      </w:r>
    </w:p>
    <w:p w:rsidR="00010CF7" w:rsidRPr="000835D4" w:rsidRDefault="00010CF7" w:rsidP="00010CF7">
      <w:pPr>
        <w:widowControl w:val="0"/>
        <w:autoSpaceDE w:val="0"/>
        <w:autoSpaceDN w:val="0"/>
        <w:ind w:right="6120"/>
      </w:pPr>
      <w:r w:rsidRPr="000835D4">
        <w:rPr>
          <w:spacing w:val="-2"/>
        </w:rPr>
        <w:t>The principal journals are:</w:t>
      </w:r>
    </w:p>
    <w:p w:rsidR="00010CF7" w:rsidRPr="000835D4" w:rsidRDefault="00010CF7" w:rsidP="00010CF7">
      <w:pPr>
        <w:rPr>
          <w:i/>
          <w:iCs/>
        </w:rPr>
      </w:pPr>
      <w:r w:rsidRPr="000835D4">
        <w:rPr>
          <w:i/>
          <w:iCs/>
        </w:rPr>
        <w:t>European Journal of Migration and Law</w:t>
      </w:r>
    </w:p>
    <w:p w:rsidR="00010CF7" w:rsidRPr="000835D4" w:rsidRDefault="00010CF7" w:rsidP="00010CF7">
      <w:pPr>
        <w:rPr>
          <w:rStyle w:val="Emphasis"/>
        </w:rPr>
      </w:pPr>
      <w:r w:rsidRPr="000835D4">
        <w:rPr>
          <w:rStyle w:val="Emphasis"/>
        </w:rPr>
        <w:t>International Journal</w:t>
      </w:r>
      <w:r w:rsidRPr="000835D4">
        <w:t xml:space="preserve"> of </w:t>
      </w:r>
      <w:r w:rsidRPr="000835D4">
        <w:rPr>
          <w:rStyle w:val="Emphasis"/>
        </w:rPr>
        <w:t>Refugee Law</w:t>
      </w:r>
    </w:p>
    <w:p w:rsidR="00010CF7" w:rsidRPr="000835D4" w:rsidRDefault="00010CF7" w:rsidP="00010CF7">
      <w:pPr>
        <w:rPr>
          <w:rStyle w:val="Emphasis"/>
        </w:rPr>
      </w:pPr>
      <w:r w:rsidRPr="000835D4">
        <w:rPr>
          <w:rStyle w:val="Emphasis"/>
        </w:rPr>
        <w:t>Journal of Refugee Studies</w:t>
      </w:r>
    </w:p>
    <w:p w:rsidR="00010CF7" w:rsidRDefault="00010CF7" w:rsidP="00010CF7">
      <w:pPr>
        <w:rPr>
          <w:rStyle w:val="Emphasis"/>
        </w:rPr>
      </w:pPr>
      <w:r w:rsidRPr="000835D4">
        <w:rPr>
          <w:rStyle w:val="Emphasis"/>
        </w:rPr>
        <w:t>Refugee Survey Quarterly</w:t>
      </w:r>
    </w:p>
    <w:p w:rsidR="00010CF7" w:rsidRDefault="00010CF7" w:rsidP="00010CF7">
      <w:pPr>
        <w:tabs>
          <w:tab w:val="left" w:pos="8025"/>
        </w:tabs>
        <w:rPr>
          <w:rStyle w:val="Emphasis"/>
        </w:rPr>
      </w:pPr>
      <w:r>
        <w:rPr>
          <w:rStyle w:val="Emphasis"/>
        </w:rPr>
        <w:t xml:space="preserve">Newsletter on European Asylum Issues for Judges </w:t>
      </w:r>
      <w:hyperlink r:id="rId8" w:history="1">
        <w:r w:rsidRPr="006B596C">
          <w:rPr>
            <w:rStyle w:val="Hyperlink"/>
          </w:rPr>
          <w:t>http://cmr.jur.ru.nl/neais/</w:t>
        </w:r>
      </w:hyperlink>
    </w:p>
    <w:p w:rsidR="00010CF7" w:rsidRPr="000835D4" w:rsidRDefault="00010CF7" w:rsidP="00010CF7">
      <w:pPr>
        <w:rPr>
          <w:i/>
          <w:iCs/>
        </w:rPr>
      </w:pPr>
    </w:p>
    <w:p w:rsidR="00010CF7" w:rsidRPr="000835D4" w:rsidRDefault="00010CF7" w:rsidP="00010CF7">
      <w:pPr>
        <w:rPr>
          <w:iCs/>
        </w:rPr>
      </w:pPr>
      <w:r w:rsidRPr="000835D4">
        <w:rPr>
          <w:iCs/>
        </w:rPr>
        <w:t>Other relevant journals include:</w:t>
      </w:r>
    </w:p>
    <w:p w:rsidR="00010CF7" w:rsidRPr="000835D4" w:rsidRDefault="00010CF7" w:rsidP="00010CF7">
      <w:pPr>
        <w:rPr>
          <w:i/>
          <w:iCs/>
        </w:rPr>
      </w:pPr>
      <w:r w:rsidRPr="000835D4">
        <w:rPr>
          <w:i/>
          <w:iCs/>
        </w:rPr>
        <w:t>American Journal of International Law</w:t>
      </w:r>
    </w:p>
    <w:p w:rsidR="00010CF7" w:rsidRPr="000835D4" w:rsidRDefault="00010CF7" w:rsidP="00010CF7">
      <w:pPr>
        <w:rPr>
          <w:i/>
          <w:iCs/>
        </w:rPr>
      </w:pPr>
      <w:r w:rsidRPr="000835D4">
        <w:rPr>
          <w:i/>
          <w:iCs/>
        </w:rPr>
        <w:t xml:space="preserve">Cornell International Law Journal </w:t>
      </w:r>
    </w:p>
    <w:p w:rsidR="00010CF7" w:rsidRPr="000835D4" w:rsidRDefault="00010CF7" w:rsidP="00010CF7">
      <w:pPr>
        <w:rPr>
          <w:i/>
          <w:iCs/>
        </w:rPr>
      </w:pPr>
      <w:r w:rsidRPr="000835D4">
        <w:rPr>
          <w:i/>
          <w:iCs/>
        </w:rPr>
        <w:t xml:space="preserve">European Journal of International Law </w:t>
      </w:r>
    </w:p>
    <w:p w:rsidR="00010CF7" w:rsidRPr="000835D4" w:rsidRDefault="00010CF7" w:rsidP="00010CF7">
      <w:pPr>
        <w:rPr>
          <w:i/>
          <w:iCs/>
        </w:rPr>
      </w:pPr>
      <w:r w:rsidRPr="000835D4">
        <w:rPr>
          <w:i/>
          <w:iCs/>
        </w:rPr>
        <w:t>Fordham University International Law Journal</w:t>
      </w:r>
    </w:p>
    <w:p w:rsidR="00010CF7" w:rsidRPr="000835D4" w:rsidRDefault="00010CF7" w:rsidP="00010CF7">
      <w:pPr>
        <w:rPr>
          <w:i/>
          <w:iCs/>
        </w:rPr>
      </w:pPr>
      <w:r w:rsidRPr="000835D4">
        <w:rPr>
          <w:i/>
          <w:iCs/>
        </w:rPr>
        <w:t>Harvard Journal of Human Rights</w:t>
      </w:r>
    </w:p>
    <w:p w:rsidR="00010CF7" w:rsidRPr="000835D4" w:rsidRDefault="00010CF7" w:rsidP="00010CF7">
      <w:pPr>
        <w:rPr>
          <w:i/>
          <w:iCs/>
        </w:rPr>
      </w:pPr>
      <w:r w:rsidRPr="000835D4">
        <w:rPr>
          <w:i/>
          <w:iCs/>
        </w:rPr>
        <w:t>Harvard International Law Journal</w:t>
      </w:r>
    </w:p>
    <w:p w:rsidR="00010CF7" w:rsidRPr="000835D4" w:rsidRDefault="00010CF7" w:rsidP="00010CF7">
      <w:pPr>
        <w:rPr>
          <w:i/>
          <w:iCs/>
        </w:rPr>
      </w:pPr>
      <w:r w:rsidRPr="000835D4">
        <w:rPr>
          <w:i/>
          <w:iCs/>
        </w:rPr>
        <w:t>Human Rights Law Review</w:t>
      </w:r>
    </w:p>
    <w:p w:rsidR="00010CF7" w:rsidRPr="000835D4" w:rsidRDefault="00010CF7" w:rsidP="00010CF7">
      <w:pPr>
        <w:rPr>
          <w:i/>
          <w:iCs/>
        </w:rPr>
      </w:pPr>
      <w:r w:rsidRPr="000835D4">
        <w:rPr>
          <w:i/>
          <w:iCs/>
        </w:rPr>
        <w:t>Human Rights Quarterly</w:t>
      </w:r>
    </w:p>
    <w:p w:rsidR="00010CF7" w:rsidRPr="000835D4" w:rsidRDefault="00010CF7" w:rsidP="00010CF7">
      <w:pPr>
        <w:rPr>
          <w:i/>
          <w:iCs/>
        </w:rPr>
      </w:pPr>
      <w:r w:rsidRPr="000835D4">
        <w:rPr>
          <w:i/>
          <w:iCs/>
        </w:rPr>
        <w:t>International &amp; Comparative Law Quarterly</w:t>
      </w:r>
    </w:p>
    <w:p w:rsidR="00010CF7" w:rsidRPr="000835D4" w:rsidRDefault="00010CF7" w:rsidP="00010CF7">
      <w:pPr>
        <w:ind w:right="3672"/>
        <w:rPr>
          <w:i/>
          <w:iCs/>
        </w:rPr>
      </w:pPr>
      <w:r w:rsidRPr="000835D4">
        <w:rPr>
          <w:i/>
          <w:iCs/>
          <w:spacing w:val="-2"/>
        </w:rPr>
        <w:t xml:space="preserve">International Journal of Minorities &amp; Group Rights </w:t>
      </w:r>
      <w:r>
        <w:rPr>
          <w:i/>
          <w:iCs/>
        </w:rPr>
        <w:t xml:space="preserve">Law &amp; Contemporary </w:t>
      </w:r>
      <w:r w:rsidRPr="000835D4">
        <w:rPr>
          <w:i/>
          <w:iCs/>
        </w:rPr>
        <w:t>Problems</w:t>
      </w:r>
    </w:p>
    <w:p w:rsidR="00010CF7" w:rsidRPr="000835D4" w:rsidRDefault="00010CF7" w:rsidP="00010CF7">
      <w:pPr>
        <w:rPr>
          <w:rStyle w:val="Emphasis"/>
        </w:rPr>
      </w:pPr>
      <w:r w:rsidRPr="000835D4">
        <w:rPr>
          <w:rStyle w:val="Emphasis"/>
        </w:rPr>
        <w:t xml:space="preserve">Journal of Conflict and Security Law </w:t>
      </w:r>
    </w:p>
    <w:p w:rsidR="00010CF7" w:rsidRPr="000835D4" w:rsidRDefault="00010CF7" w:rsidP="00010CF7">
      <w:pPr>
        <w:rPr>
          <w:rStyle w:val="Emphasis"/>
        </w:rPr>
      </w:pPr>
      <w:r w:rsidRPr="000835D4">
        <w:rPr>
          <w:rStyle w:val="Emphasis"/>
        </w:rPr>
        <w:t xml:space="preserve">Leiden Journal of International Law </w:t>
      </w:r>
    </w:p>
    <w:p w:rsidR="00010CF7" w:rsidRPr="000835D4" w:rsidRDefault="00010CF7" w:rsidP="00010CF7">
      <w:pPr>
        <w:rPr>
          <w:i/>
          <w:iCs/>
        </w:rPr>
      </w:pPr>
      <w:r w:rsidRPr="000835D4">
        <w:rPr>
          <w:rStyle w:val="Emphasis"/>
        </w:rPr>
        <w:t>Michigan Journal of International Law</w:t>
      </w:r>
    </w:p>
    <w:p w:rsidR="00010CF7" w:rsidRPr="000835D4" w:rsidRDefault="00010CF7" w:rsidP="00010CF7">
      <w:pPr>
        <w:rPr>
          <w:i/>
          <w:iCs/>
        </w:rPr>
      </w:pPr>
      <w:r w:rsidRPr="000835D4">
        <w:rPr>
          <w:i/>
          <w:iCs/>
        </w:rPr>
        <w:t>Netherlands Quarterly of Human Rights</w:t>
      </w:r>
    </w:p>
    <w:p w:rsidR="00010CF7" w:rsidRPr="000835D4" w:rsidRDefault="00010CF7" w:rsidP="00010CF7">
      <w:pPr>
        <w:rPr>
          <w:i/>
          <w:iCs/>
        </w:rPr>
      </w:pPr>
      <w:r w:rsidRPr="000835D4">
        <w:rPr>
          <w:i/>
          <w:iCs/>
        </w:rPr>
        <w:t>Nordic Journal of International Law</w:t>
      </w:r>
    </w:p>
    <w:p w:rsidR="00010CF7" w:rsidRPr="000835D4" w:rsidRDefault="00010CF7" w:rsidP="00010CF7">
      <w:pPr>
        <w:rPr>
          <w:i/>
          <w:iCs/>
        </w:rPr>
      </w:pPr>
      <w:r w:rsidRPr="000835D4">
        <w:rPr>
          <w:i/>
          <w:iCs/>
        </w:rPr>
        <w:t>Yale Law Journal</w:t>
      </w:r>
    </w:p>
    <w:p w:rsidR="00010CF7" w:rsidRPr="000835D4" w:rsidRDefault="00010CF7" w:rsidP="00010CF7">
      <w:pPr>
        <w:ind w:right="72"/>
      </w:pPr>
      <w:r w:rsidRPr="000835D4">
        <w:lastRenderedPageBreak/>
        <w:t>Most of these periodicals are available in the university library. The collection is supplemented with on-line journals available through J-Store and Hein On-Line, to which all registered students have access via the website.</w:t>
      </w:r>
    </w:p>
    <w:p w:rsidR="003746C2" w:rsidRDefault="003746C2" w:rsidP="007A7E8C">
      <w:pPr>
        <w:spacing w:after="0"/>
        <w:rPr>
          <w:b/>
        </w:rPr>
      </w:pPr>
    </w:p>
    <w:p w:rsidR="007A7E8C" w:rsidRPr="004C59A4" w:rsidRDefault="007A7E8C" w:rsidP="007A7E8C">
      <w:pPr>
        <w:spacing w:after="0"/>
        <w:rPr>
          <w:b/>
        </w:rPr>
      </w:pPr>
      <w:r w:rsidRPr="004C59A4">
        <w:rPr>
          <w:b/>
        </w:rPr>
        <w:t>GENERAL OVERVIEW OF THE COURSE</w:t>
      </w:r>
    </w:p>
    <w:p w:rsidR="007A7E8C" w:rsidRPr="004C59A4" w:rsidRDefault="007A7E8C" w:rsidP="007A7E8C">
      <w:pPr>
        <w:spacing w:after="0"/>
      </w:pPr>
    </w:p>
    <w:p w:rsidR="007A7E8C" w:rsidRPr="007A7E8C" w:rsidRDefault="007A7E8C" w:rsidP="007A7E8C">
      <w:pPr>
        <w:pStyle w:val="Heading1"/>
        <w:spacing w:before="0"/>
        <w:ind w:right="85"/>
        <w:rPr>
          <w:rFonts w:asciiTheme="minorHAnsi" w:hAnsiTheme="minorHAnsi"/>
          <w:b/>
          <w:color w:val="auto"/>
          <w:sz w:val="22"/>
          <w:szCs w:val="22"/>
        </w:rPr>
      </w:pPr>
      <w:r w:rsidRPr="007A7E8C">
        <w:rPr>
          <w:rFonts w:asciiTheme="minorHAnsi" w:hAnsiTheme="minorHAnsi"/>
          <w:color w:val="auto"/>
          <w:sz w:val="22"/>
          <w:szCs w:val="22"/>
        </w:rPr>
        <w:t xml:space="preserve">This module examines the evolution of the EU Common European Asylum System (CEAS) from the 1990s to the present, exploring why and how the EU has sought to harmonise the law in this area.  The CEAS has developed in phases: Phase One established minimum standards instruments while Phase Two recast those instruments in order to move to a higher level of harmonisation in the form of common standards.  However, the legal harmonisation has been patchy and great divergences still exist in the asylum laws, policies and practices of Member States. This undermines the </w:t>
      </w:r>
      <w:r w:rsidRPr="007A7E8C">
        <w:rPr>
          <w:rFonts w:asciiTheme="minorHAnsi" w:hAnsiTheme="minorHAnsi"/>
          <w:i/>
          <w:color w:val="auto"/>
          <w:sz w:val="22"/>
          <w:szCs w:val="22"/>
        </w:rPr>
        <w:t>raison d’etre</w:t>
      </w:r>
      <w:r w:rsidRPr="007A7E8C">
        <w:rPr>
          <w:rFonts w:asciiTheme="minorHAnsi" w:hAnsiTheme="minorHAnsi"/>
          <w:color w:val="auto"/>
          <w:sz w:val="22"/>
          <w:szCs w:val="22"/>
        </w:rPr>
        <w:t xml:space="preserve"> of the Dublin Regulation – the instrument that allocates responsibility to one and only one Member States for the processing of any given asylum claim – which is, that it does not matter in which state an asylum claim is processed because the rules and procedures are the same in all Member States. The Dublin Regulation also puts an enormous burden on some Member States and has arguably contributed to the current ‘crisis’ in the Mediterranean, which, in turn has called the viability of the CEAS into question.  In response, the EU legislator is currently seeking to renegotiate all the major instruments of the CEAS.  In other words, we are entering Phase Three CEAS.  This course critically analyses these developments and looks at the contribution, both positive and negative, that the CEAS – including the case-law of the Court of Justice of the EU – has made to international refugee protection.</w:t>
      </w:r>
    </w:p>
    <w:p w:rsidR="007A7E8C" w:rsidRDefault="007A7E8C" w:rsidP="007A7E8C">
      <w:pPr>
        <w:spacing w:after="0"/>
        <w:rPr>
          <w:b/>
        </w:rPr>
      </w:pPr>
    </w:p>
    <w:p w:rsidR="007A7E8C" w:rsidRPr="004C59A4" w:rsidRDefault="007A7E8C" w:rsidP="007A7E8C">
      <w:pPr>
        <w:spacing w:after="0"/>
      </w:pPr>
      <w:r w:rsidRPr="004C59A4">
        <w:rPr>
          <w:b/>
        </w:rPr>
        <w:t>SEMINARS AND READINGS</w:t>
      </w:r>
    </w:p>
    <w:p w:rsidR="007A7E8C" w:rsidRPr="004C59A4" w:rsidRDefault="007A7E8C" w:rsidP="007A7E8C">
      <w:pPr>
        <w:spacing w:after="0"/>
        <w:rPr>
          <w:b/>
          <w:u w:val="single"/>
        </w:rPr>
      </w:pPr>
    </w:p>
    <w:p w:rsidR="007A7E8C" w:rsidRPr="004C59A4" w:rsidRDefault="007A7E8C" w:rsidP="007A7E8C">
      <w:pPr>
        <w:spacing w:after="0"/>
        <w:rPr>
          <w:b/>
          <w:u w:val="single"/>
        </w:rPr>
      </w:pPr>
      <w:r w:rsidRPr="004C59A4">
        <w:rPr>
          <w:b/>
          <w:u w:val="single"/>
        </w:rPr>
        <w:t xml:space="preserve">Seminar 1 – Introduction to </w:t>
      </w:r>
      <w:r w:rsidR="00010CF7">
        <w:rPr>
          <w:b/>
          <w:u w:val="single"/>
        </w:rPr>
        <w:t>the history and development of the CEAS</w:t>
      </w:r>
    </w:p>
    <w:p w:rsidR="00010CF7" w:rsidRDefault="00010CF7" w:rsidP="00010CF7">
      <w:pPr>
        <w:pStyle w:val="ListParagraph"/>
        <w:numPr>
          <w:ilvl w:val="0"/>
          <w:numId w:val="22"/>
        </w:numPr>
        <w:tabs>
          <w:tab w:val="left" w:pos="3217"/>
        </w:tabs>
        <w:rPr>
          <w:rFonts w:eastAsia="Times New Roman" w:cs="Times New Roman"/>
          <w:lang w:eastAsia="en-IE"/>
        </w:rPr>
      </w:pPr>
      <w:r w:rsidRPr="00C90EC0">
        <w:rPr>
          <w:rFonts w:eastAsia="Times New Roman" w:cs="Times New Roman"/>
          <w:lang w:eastAsia="en-IE"/>
        </w:rPr>
        <w:t xml:space="preserve">Ciara Smyth, </w:t>
      </w:r>
      <w:r w:rsidRPr="00C90EC0">
        <w:rPr>
          <w:rFonts w:eastAsia="Times New Roman" w:cs="Times New Roman"/>
          <w:i/>
          <w:lang w:eastAsia="en-IE"/>
        </w:rPr>
        <w:t>European Asylum Law and the Rights of the Child</w:t>
      </w:r>
      <w:r w:rsidRPr="00C90EC0">
        <w:rPr>
          <w:rFonts w:eastAsia="Times New Roman" w:cs="Times New Roman"/>
          <w:lang w:eastAsia="en-IE"/>
        </w:rPr>
        <w:t>, Routledge,</w:t>
      </w:r>
      <w:r>
        <w:rPr>
          <w:rFonts w:eastAsia="Times New Roman" w:cs="Times New Roman"/>
          <w:lang w:eastAsia="en-IE"/>
        </w:rPr>
        <w:t xml:space="preserve"> 2014, Chapter 1</w:t>
      </w:r>
    </w:p>
    <w:p w:rsidR="00010CF7" w:rsidRDefault="00010CF7" w:rsidP="00010CF7">
      <w:pPr>
        <w:pStyle w:val="ListParagraph"/>
        <w:numPr>
          <w:ilvl w:val="0"/>
          <w:numId w:val="22"/>
        </w:numPr>
        <w:tabs>
          <w:tab w:val="left" w:pos="3217"/>
        </w:tabs>
        <w:rPr>
          <w:rFonts w:eastAsia="Times New Roman" w:cs="Times New Roman"/>
          <w:lang w:eastAsia="en-IE"/>
        </w:rPr>
      </w:pPr>
      <w:r>
        <w:rPr>
          <w:rFonts w:eastAsia="Times New Roman" w:cs="Times New Roman"/>
          <w:lang w:eastAsia="en-IE"/>
        </w:rPr>
        <w:t xml:space="preserve">Rosemary Byrne, Gregor Noll and Jens Vedsted-Hansen, ‘Understanding Refugee Law in an Enlarged European Union’, </w:t>
      </w:r>
      <w:r w:rsidRPr="003B061F">
        <w:rPr>
          <w:rFonts w:eastAsia="Times New Roman" w:cs="Times New Roman"/>
          <w:i/>
          <w:lang w:eastAsia="en-IE"/>
        </w:rPr>
        <w:t xml:space="preserve">European Journal of </w:t>
      </w:r>
      <w:r>
        <w:rPr>
          <w:rFonts w:eastAsia="Times New Roman" w:cs="Times New Roman"/>
          <w:i/>
          <w:lang w:eastAsia="en-IE"/>
        </w:rPr>
        <w:t>International Law</w:t>
      </w:r>
      <w:r>
        <w:rPr>
          <w:rFonts w:eastAsia="Times New Roman" w:cs="Times New Roman"/>
          <w:lang w:eastAsia="en-IE"/>
        </w:rPr>
        <w:t xml:space="preserve"> (2004) 15(2): 355-379</w:t>
      </w:r>
    </w:p>
    <w:p w:rsidR="00010CF7" w:rsidRPr="00010CF7" w:rsidRDefault="00010CF7" w:rsidP="003746C2">
      <w:pPr>
        <w:pStyle w:val="ListParagraph"/>
        <w:numPr>
          <w:ilvl w:val="0"/>
          <w:numId w:val="22"/>
        </w:numPr>
        <w:tabs>
          <w:tab w:val="left" w:pos="3217"/>
        </w:tabs>
        <w:spacing w:after="0"/>
        <w:rPr>
          <w:rFonts w:eastAsia="Times New Roman" w:cs="Times New Roman"/>
          <w:lang w:eastAsia="en-IE"/>
        </w:rPr>
      </w:pPr>
      <w:r w:rsidRPr="007427FF">
        <w:t>Christian Kaunert and Sarah Leonard,</w:t>
      </w:r>
      <w:r w:rsidRPr="007427FF">
        <w:rPr>
          <w:rFonts w:cs="Helvetica"/>
          <w:color w:val="333333"/>
          <w:shd w:val="clear" w:color="auto" w:fill="FFFFFF"/>
        </w:rPr>
        <w:t xml:space="preserve"> ‘European Union Asylum Policy After the Treaty of Lisbon and the Stockholm Programme : Towards Supranational Governance in a Common Area of Protection?’ </w:t>
      </w:r>
      <w:r w:rsidRPr="007427FF">
        <w:rPr>
          <w:rFonts w:cs="Helvetica"/>
          <w:i/>
          <w:color w:val="333333"/>
          <w:shd w:val="clear" w:color="auto" w:fill="FFFFFF"/>
        </w:rPr>
        <w:t>Refugee Survey Quarterly</w:t>
      </w:r>
      <w:r w:rsidRPr="007427FF">
        <w:rPr>
          <w:rFonts w:cs="Helvetica"/>
          <w:color w:val="333333"/>
          <w:shd w:val="clear" w:color="auto" w:fill="FFFFFF"/>
        </w:rPr>
        <w:t xml:space="preserve"> (2012) 31(4): 1-20</w:t>
      </w:r>
    </w:p>
    <w:p w:rsidR="003746C2" w:rsidRDefault="003746C2" w:rsidP="003746C2">
      <w:pPr>
        <w:tabs>
          <w:tab w:val="left" w:pos="3217"/>
        </w:tabs>
        <w:spacing w:after="0"/>
        <w:rPr>
          <w:rFonts w:eastAsia="Times New Roman" w:cs="Times New Roman"/>
          <w:b/>
          <w:u w:val="single"/>
          <w:lang w:eastAsia="en-IE"/>
        </w:rPr>
      </w:pPr>
    </w:p>
    <w:p w:rsidR="00010CF7" w:rsidRPr="003746C2" w:rsidRDefault="00010CF7" w:rsidP="003746C2">
      <w:pPr>
        <w:tabs>
          <w:tab w:val="left" w:pos="3217"/>
        </w:tabs>
        <w:spacing w:after="0"/>
        <w:rPr>
          <w:rFonts w:eastAsia="Times New Roman" w:cs="Times New Roman"/>
          <w:b/>
          <w:u w:val="single"/>
          <w:lang w:eastAsia="en-IE"/>
        </w:rPr>
      </w:pPr>
      <w:r w:rsidRPr="003746C2">
        <w:rPr>
          <w:rFonts w:eastAsia="Times New Roman" w:cs="Times New Roman"/>
          <w:b/>
          <w:u w:val="single"/>
          <w:lang w:eastAsia="en-IE"/>
        </w:rPr>
        <w:t xml:space="preserve">Seminar 2 – </w:t>
      </w:r>
      <w:r w:rsidR="003746C2" w:rsidRPr="003746C2">
        <w:rPr>
          <w:rFonts w:eastAsia="Times New Roman" w:cs="Times New Roman"/>
          <w:b/>
          <w:u w:val="single"/>
          <w:lang w:eastAsia="en-IE"/>
        </w:rPr>
        <w:t>O</w:t>
      </w:r>
      <w:r w:rsidRPr="003746C2">
        <w:rPr>
          <w:rFonts w:eastAsia="Times New Roman" w:cs="Times New Roman"/>
          <w:b/>
          <w:u w:val="single"/>
          <w:lang w:eastAsia="en-IE"/>
        </w:rPr>
        <w:t>verview of the core instruments of the CEAS:</w:t>
      </w:r>
    </w:p>
    <w:p w:rsidR="00010CF7" w:rsidRPr="00C90EC0" w:rsidRDefault="00010CF7" w:rsidP="003746C2">
      <w:pPr>
        <w:pStyle w:val="ListParagraph"/>
        <w:numPr>
          <w:ilvl w:val="0"/>
          <w:numId w:val="22"/>
        </w:numPr>
        <w:spacing w:after="0"/>
        <w:rPr>
          <w:bCs/>
        </w:rPr>
      </w:pPr>
      <w:r>
        <w:rPr>
          <w:bCs/>
        </w:rPr>
        <w:t>Scrutinise t</w:t>
      </w:r>
      <w:r w:rsidRPr="00C90EC0">
        <w:rPr>
          <w:bCs/>
        </w:rPr>
        <w:t xml:space="preserve">he text of </w:t>
      </w:r>
      <w:r w:rsidRPr="00032354">
        <w:rPr>
          <w:bCs/>
          <w:i/>
          <w:u w:val="single"/>
        </w:rPr>
        <w:t>one</w:t>
      </w:r>
      <w:r w:rsidRPr="00C90EC0">
        <w:rPr>
          <w:bCs/>
        </w:rPr>
        <w:t xml:space="preserve"> of the following:</w:t>
      </w:r>
    </w:p>
    <w:p w:rsidR="00010CF7" w:rsidRDefault="00010CF7" w:rsidP="003746C2">
      <w:pPr>
        <w:numPr>
          <w:ilvl w:val="1"/>
          <w:numId w:val="23"/>
        </w:numPr>
        <w:spacing w:after="0"/>
        <w:rPr>
          <w:bCs/>
        </w:rPr>
      </w:pPr>
      <w:r>
        <w:rPr>
          <w:bCs/>
        </w:rPr>
        <w:t>The Recast Reception Conditions Directive (2013/33/EU)</w:t>
      </w:r>
    </w:p>
    <w:p w:rsidR="00010CF7" w:rsidRDefault="00010CF7" w:rsidP="003746C2">
      <w:pPr>
        <w:numPr>
          <w:ilvl w:val="1"/>
          <w:numId w:val="23"/>
        </w:numPr>
        <w:spacing w:after="0"/>
        <w:rPr>
          <w:bCs/>
        </w:rPr>
      </w:pPr>
      <w:r>
        <w:rPr>
          <w:bCs/>
        </w:rPr>
        <w:t>The Recast Dublin Regulation (604/2013)</w:t>
      </w:r>
    </w:p>
    <w:p w:rsidR="00010CF7" w:rsidRDefault="00010CF7" w:rsidP="003746C2">
      <w:pPr>
        <w:numPr>
          <w:ilvl w:val="1"/>
          <w:numId w:val="23"/>
        </w:numPr>
        <w:spacing w:after="0"/>
        <w:rPr>
          <w:bCs/>
        </w:rPr>
      </w:pPr>
      <w:r>
        <w:rPr>
          <w:bCs/>
        </w:rPr>
        <w:t>The Recast Qualification Directive (2011/95/EU)</w:t>
      </w:r>
    </w:p>
    <w:p w:rsidR="00010CF7" w:rsidRPr="00057937" w:rsidRDefault="00010CF7" w:rsidP="003746C2">
      <w:pPr>
        <w:numPr>
          <w:ilvl w:val="1"/>
          <w:numId w:val="23"/>
        </w:numPr>
        <w:spacing w:after="0"/>
        <w:rPr>
          <w:bCs/>
        </w:rPr>
      </w:pPr>
      <w:r>
        <w:rPr>
          <w:bCs/>
        </w:rPr>
        <w:t>The Recast Asylum Procedures Directive (2013/32/EU)</w:t>
      </w:r>
    </w:p>
    <w:p w:rsidR="00010CF7" w:rsidRPr="003746C2" w:rsidRDefault="00010CF7" w:rsidP="003746C2">
      <w:pPr>
        <w:pStyle w:val="ListParagraph"/>
        <w:numPr>
          <w:ilvl w:val="0"/>
          <w:numId w:val="22"/>
        </w:numPr>
        <w:spacing w:after="0"/>
        <w:rPr>
          <w:b/>
          <w:bCs/>
        </w:rPr>
      </w:pPr>
      <w:r>
        <w:t>Peruse the latest issue of the Newsletter</w:t>
      </w:r>
      <w:r w:rsidRPr="007F7805">
        <w:t xml:space="preserve"> </w:t>
      </w:r>
      <w:r>
        <w:t xml:space="preserve">on European Asylum Issues for Judges: </w:t>
      </w:r>
      <w:hyperlink r:id="rId9" w:history="1">
        <w:r w:rsidRPr="00B06EE3">
          <w:rPr>
            <w:rStyle w:val="Hyperlink"/>
          </w:rPr>
          <w:t>http://cmr.jur.ru.nl/neais/</w:t>
        </w:r>
      </w:hyperlink>
      <w:r w:rsidRPr="00C90EC0">
        <w:rPr>
          <w:b/>
          <w:bCs/>
        </w:rPr>
        <w:t xml:space="preserve"> </w:t>
      </w:r>
      <w:r w:rsidRPr="00C90EC0">
        <w:rPr>
          <w:bCs/>
        </w:rPr>
        <w:t>for case-law on the above instrument of your choice</w:t>
      </w:r>
    </w:p>
    <w:p w:rsidR="003746C2" w:rsidRDefault="003746C2" w:rsidP="003746C2">
      <w:pPr>
        <w:spacing w:after="0"/>
        <w:rPr>
          <w:b/>
          <w:bCs/>
        </w:rPr>
      </w:pPr>
    </w:p>
    <w:p w:rsidR="001966F6" w:rsidRDefault="001966F6" w:rsidP="003746C2">
      <w:pPr>
        <w:spacing w:after="0"/>
        <w:rPr>
          <w:b/>
          <w:bCs/>
          <w:u w:val="single"/>
        </w:rPr>
      </w:pPr>
      <w:r>
        <w:rPr>
          <w:b/>
          <w:bCs/>
          <w:u w:val="single"/>
        </w:rPr>
        <w:br w:type="page"/>
      </w:r>
    </w:p>
    <w:p w:rsidR="003746C2" w:rsidRPr="003746C2" w:rsidRDefault="003746C2" w:rsidP="003746C2">
      <w:pPr>
        <w:spacing w:after="0"/>
        <w:rPr>
          <w:b/>
          <w:bCs/>
          <w:u w:val="single"/>
        </w:rPr>
      </w:pPr>
      <w:r w:rsidRPr="003746C2">
        <w:rPr>
          <w:b/>
          <w:bCs/>
          <w:u w:val="single"/>
        </w:rPr>
        <w:lastRenderedPageBreak/>
        <w:t xml:space="preserve">Seminar 3 – </w:t>
      </w:r>
      <w:r w:rsidRPr="003746C2">
        <w:rPr>
          <w:rFonts w:eastAsia="Times New Roman" w:cs="Times New Roman"/>
          <w:b/>
          <w:u w:val="single"/>
          <w:lang w:eastAsia="en-IE"/>
        </w:rPr>
        <w:t>Focus on the mechanism for allocating responsibility (Dublin):</w:t>
      </w:r>
    </w:p>
    <w:p w:rsidR="003746C2" w:rsidRPr="00C90EC0" w:rsidRDefault="00D95EDF" w:rsidP="003746C2">
      <w:pPr>
        <w:pStyle w:val="ListParagraph"/>
        <w:numPr>
          <w:ilvl w:val="0"/>
          <w:numId w:val="24"/>
        </w:numPr>
        <w:shd w:val="clear" w:color="auto" w:fill="FFFFFF"/>
        <w:spacing w:after="165"/>
        <w:textAlignment w:val="baseline"/>
        <w:rPr>
          <w:rFonts w:eastAsia="Times New Roman" w:cs="Arial"/>
          <w:lang w:eastAsia="en-IE"/>
        </w:rPr>
      </w:pPr>
      <w:hyperlink r:id="rId10" w:history="1">
        <w:r w:rsidR="003746C2" w:rsidRPr="00C90EC0">
          <w:rPr>
            <w:rFonts w:eastAsia="Times New Roman" w:cs="Arial"/>
            <w:bdr w:val="none" w:sz="0" w:space="0" w:color="auto" w:frame="1"/>
            <w:lang w:eastAsia="en-IE"/>
          </w:rPr>
          <w:t>Claire Inder</w:t>
        </w:r>
      </w:hyperlink>
      <w:r w:rsidR="003746C2" w:rsidRPr="00C90EC0">
        <w:rPr>
          <w:rFonts w:eastAsia="Times New Roman" w:cs="Arial"/>
          <w:bdr w:val="none" w:sz="0" w:space="0" w:color="auto" w:frame="1"/>
          <w:lang w:eastAsia="en-IE"/>
        </w:rPr>
        <w:t xml:space="preserve">, </w:t>
      </w:r>
      <w:r w:rsidR="003746C2" w:rsidRPr="00C90EC0">
        <w:rPr>
          <w:rFonts w:eastAsia="Times New Roman" w:cs="Arial"/>
          <w:lang w:eastAsia="en-IE"/>
        </w:rPr>
        <w:t>‘</w:t>
      </w:r>
      <w:r w:rsidR="003746C2" w:rsidRPr="00C90EC0">
        <w:rPr>
          <w:rFonts w:eastAsia="Times New Roman" w:cs="Times New Roman"/>
          <w:bCs/>
          <w:kern w:val="36"/>
          <w:lang w:eastAsia="en-IE"/>
        </w:rPr>
        <w:t>The Origins of ‘Burden Sharing’ in the Contemporary Refugee Protection Regime’</w:t>
      </w:r>
      <w:r w:rsidR="003746C2" w:rsidRPr="00C90EC0">
        <w:rPr>
          <w:rFonts w:eastAsia="Times New Roman" w:cs="Arial"/>
          <w:lang w:eastAsia="en-IE"/>
        </w:rPr>
        <w:t xml:space="preserve">, </w:t>
      </w:r>
      <w:r w:rsidR="003746C2" w:rsidRPr="00C90EC0">
        <w:rPr>
          <w:rFonts w:eastAsia="Times New Roman" w:cs="Arial"/>
          <w:i/>
          <w:iCs/>
          <w:bdr w:val="none" w:sz="0" w:space="0" w:color="auto" w:frame="1"/>
          <w:lang w:eastAsia="en-IE"/>
        </w:rPr>
        <w:t>International Journal of Refugee Law</w:t>
      </w:r>
      <w:r w:rsidR="003746C2">
        <w:rPr>
          <w:rFonts w:eastAsia="Times New Roman" w:cs="Arial"/>
          <w:lang w:eastAsia="en-IE"/>
        </w:rPr>
        <w:t xml:space="preserve"> (2017) 29(</w:t>
      </w:r>
      <w:r w:rsidR="003746C2" w:rsidRPr="00C90EC0">
        <w:rPr>
          <w:rFonts w:eastAsia="Times New Roman" w:cs="Arial"/>
          <w:lang w:eastAsia="en-IE"/>
        </w:rPr>
        <w:t>4</w:t>
      </w:r>
      <w:r w:rsidR="003746C2">
        <w:rPr>
          <w:rFonts w:eastAsia="Times New Roman" w:cs="Arial"/>
          <w:lang w:eastAsia="en-IE"/>
        </w:rPr>
        <w:t>):</w:t>
      </w:r>
      <w:r w:rsidR="003746C2" w:rsidRPr="00C90EC0">
        <w:rPr>
          <w:rFonts w:eastAsia="Times New Roman" w:cs="Arial"/>
          <w:lang w:eastAsia="en-IE"/>
        </w:rPr>
        <w:t xml:space="preserve"> 523–554.</w:t>
      </w:r>
    </w:p>
    <w:p w:rsidR="003746C2" w:rsidRPr="00C90EC0" w:rsidRDefault="00D95EDF" w:rsidP="003746C2">
      <w:pPr>
        <w:pStyle w:val="ListParagraph"/>
        <w:numPr>
          <w:ilvl w:val="0"/>
          <w:numId w:val="24"/>
        </w:numPr>
        <w:shd w:val="clear" w:color="auto" w:fill="FFFFFF"/>
        <w:spacing w:after="165"/>
        <w:textAlignment w:val="baseline"/>
        <w:rPr>
          <w:rFonts w:eastAsia="Times New Roman" w:cs="Arial"/>
          <w:lang w:eastAsia="en-IE"/>
        </w:rPr>
      </w:pPr>
      <w:hyperlink r:id="rId11" w:history="1">
        <w:r w:rsidR="003746C2" w:rsidRPr="00C90EC0">
          <w:rPr>
            <w:rFonts w:eastAsia="Times New Roman" w:cs="Arial"/>
            <w:bdr w:val="none" w:sz="0" w:space="0" w:color="auto" w:frame="1"/>
            <w:lang w:eastAsia="en-IE"/>
          </w:rPr>
          <w:t>Anna Lübbe</w:t>
        </w:r>
      </w:hyperlink>
      <w:r w:rsidR="003746C2" w:rsidRPr="00C90EC0">
        <w:rPr>
          <w:rFonts w:eastAsia="Times New Roman" w:cs="Arial"/>
          <w:lang w:eastAsia="en-IE"/>
        </w:rPr>
        <w:t xml:space="preserve">, </w:t>
      </w:r>
      <w:r w:rsidR="003746C2" w:rsidRPr="00C90EC0">
        <w:rPr>
          <w:rFonts w:eastAsia="Times New Roman" w:cs="Times New Roman"/>
          <w:bCs/>
          <w:kern w:val="36"/>
          <w:lang w:eastAsia="en-IE"/>
        </w:rPr>
        <w:t xml:space="preserve"> ‘Systemic Flaws’ and Dublin Transfers: Incompatible Tests before the CJEU and the ECtHR?’</w:t>
      </w:r>
      <w:r w:rsidR="003746C2" w:rsidRPr="00C90EC0">
        <w:rPr>
          <w:rFonts w:eastAsia="Times New Roman" w:cs="Arial"/>
          <w:lang w:eastAsia="en-IE"/>
        </w:rPr>
        <w:t xml:space="preserve"> </w:t>
      </w:r>
      <w:r w:rsidR="003746C2" w:rsidRPr="00C90EC0">
        <w:rPr>
          <w:rFonts w:eastAsia="Times New Roman" w:cs="Arial"/>
          <w:i/>
          <w:iCs/>
          <w:bdr w:val="none" w:sz="0" w:space="0" w:color="auto" w:frame="1"/>
          <w:lang w:eastAsia="en-IE"/>
        </w:rPr>
        <w:t>International Journal of Refugee Law</w:t>
      </w:r>
      <w:r w:rsidR="003746C2">
        <w:rPr>
          <w:rFonts w:eastAsia="Times New Roman" w:cs="Arial"/>
          <w:lang w:eastAsia="en-IE"/>
        </w:rPr>
        <w:t xml:space="preserve"> (2015) 27(</w:t>
      </w:r>
      <w:r w:rsidR="003746C2" w:rsidRPr="00C90EC0">
        <w:rPr>
          <w:rFonts w:eastAsia="Times New Roman" w:cs="Arial"/>
          <w:lang w:eastAsia="en-IE"/>
        </w:rPr>
        <w:t>1</w:t>
      </w:r>
      <w:r w:rsidR="003746C2">
        <w:rPr>
          <w:rFonts w:eastAsia="Times New Roman" w:cs="Arial"/>
          <w:lang w:eastAsia="en-IE"/>
        </w:rPr>
        <w:t xml:space="preserve">): </w:t>
      </w:r>
      <w:r w:rsidR="003746C2" w:rsidRPr="00C90EC0">
        <w:rPr>
          <w:rFonts w:eastAsia="Times New Roman" w:cs="Arial"/>
          <w:lang w:eastAsia="en-IE"/>
        </w:rPr>
        <w:t>135–140</w:t>
      </w:r>
    </w:p>
    <w:p w:rsidR="003746C2" w:rsidRPr="00C90EC0" w:rsidRDefault="00D95EDF" w:rsidP="003746C2">
      <w:pPr>
        <w:pStyle w:val="ListParagraph"/>
        <w:numPr>
          <w:ilvl w:val="0"/>
          <w:numId w:val="24"/>
        </w:numPr>
        <w:shd w:val="clear" w:color="auto" w:fill="FFFFFF"/>
        <w:spacing w:after="165"/>
        <w:textAlignment w:val="baseline"/>
        <w:rPr>
          <w:rFonts w:eastAsia="Times New Roman" w:cs="Arial"/>
          <w:lang w:eastAsia="en-IE"/>
        </w:rPr>
      </w:pPr>
      <w:hyperlink r:id="rId12" w:history="1">
        <w:r w:rsidR="003746C2" w:rsidRPr="00C90EC0">
          <w:rPr>
            <w:rFonts w:eastAsia="Times New Roman" w:cs="Arial"/>
            <w:bdr w:val="none" w:sz="0" w:space="0" w:color="auto" w:frame="1"/>
            <w:lang w:eastAsia="en-IE"/>
          </w:rPr>
          <w:t>Sílvia Morgades-Gil</w:t>
        </w:r>
      </w:hyperlink>
      <w:r w:rsidR="003746C2" w:rsidRPr="00C90EC0">
        <w:rPr>
          <w:rFonts w:eastAsia="Times New Roman" w:cs="Arial"/>
          <w:lang w:eastAsia="en-IE"/>
        </w:rPr>
        <w:t>, ‘</w:t>
      </w:r>
      <w:r w:rsidR="003746C2" w:rsidRPr="00C90EC0">
        <w:rPr>
          <w:rFonts w:eastAsia="Times New Roman" w:cs="Times New Roman"/>
          <w:bCs/>
          <w:kern w:val="36"/>
          <w:lang w:eastAsia="en-IE"/>
        </w:rPr>
        <w:t>The Discretion of States in the Dublin III System for Determining Responsibility for Examining Applications for Asylum: What Remains of the Sovereignty and Humanitarian Clauses After the Interpretations of the ECtHR and the CJEU?’</w:t>
      </w:r>
      <w:r w:rsidR="003746C2" w:rsidRPr="00C90EC0">
        <w:rPr>
          <w:rFonts w:eastAsia="Times New Roman" w:cs="Arial"/>
          <w:lang w:eastAsia="en-IE"/>
        </w:rPr>
        <w:t xml:space="preserve"> </w:t>
      </w:r>
      <w:r w:rsidR="003746C2" w:rsidRPr="00C90EC0">
        <w:rPr>
          <w:rFonts w:eastAsia="Times New Roman" w:cs="Arial"/>
          <w:i/>
          <w:iCs/>
          <w:bdr w:val="none" w:sz="0" w:space="0" w:color="auto" w:frame="1"/>
          <w:lang w:eastAsia="en-IE"/>
        </w:rPr>
        <w:t>International Journal of Refugee Law</w:t>
      </w:r>
      <w:r w:rsidR="003746C2">
        <w:rPr>
          <w:rFonts w:eastAsia="Times New Roman" w:cs="Arial"/>
          <w:lang w:eastAsia="en-IE"/>
        </w:rPr>
        <w:t xml:space="preserve"> (2015) 27( 3): </w:t>
      </w:r>
      <w:r w:rsidR="003746C2" w:rsidRPr="00C90EC0">
        <w:rPr>
          <w:rFonts w:eastAsia="Times New Roman" w:cs="Arial"/>
          <w:lang w:eastAsia="en-IE"/>
        </w:rPr>
        <w:t>433–456</w:t>
      </w:r>
    </w:p>
    <w:p w:rsidR="003746C2" w:rsidRDefault="00D95EDF" w:rsidP="003746C2">
      <w:pPr>
        <w:pStyle w:val="ListParagraph"/>
        <w:numPr>
          <w:ilvl w:val="0"/>
          <w:numId w:val="24"/>
        </w:numPr>
        <w:shd w:val="clear" w:color="auto" w:fill="FFFFFF"/>
        <w:spacing w:after="0"/>
        <w:textAlignment w:val="baseline"/>
        <w:rPr>
          <w:rFonts w:eastAsia="Times New Roman" w:cs="Arial"/>
          <w:lang w:eastAsia="en-IE"/>
        </w:rPr>
      </w:pPr>
      <w:hyperlink r:id="rId13" w:history="1">
        <w:r w:rsidR="003746C2" w:rsidRPr="00C90EC0">
          <w:rPr>
            <w:rFonts w:eastAsia="Times New Roman" w:cs="Arial"/>
            <w:bdr w:val="none" w:sz="0" w:space="0" w:color="auto" w:frame="1"/>
            <w:lang w:eastAsia="en-IE"/>
          </w:rPr>
          <w:t>Jan-Paul Brekke</w:t>
        </w:r>
      </w:hyperlink>
      <w:r w:rsidR="003746C2" w:rsidRPr="00C90EC0">
        <w:rPr>
          <w:rFonts w:eastAsia="Times New Roman" w:cs="Arial"/>
          <w:lang w:eastAsia="en-IE"/>
        </w:rPr>
        <w:t> </w:t>
      </w:r>
      <w:hyperlink r:id="rId14" w:history="1">
        <w:r w:rsidR="003746C2" w:rsidRPr="00C90EC0">
          <w:rPr>
            <w:rFonts w:eastAsia="Times New Roman" w:cs="Arial"/>
            <w:bdr w:val="none" w:sz="0" w:space="0" w:color="auto" w:frame="1"/>
            <w:lang w:eastAsia="en-IE"/>
          </w:rPr>
          <w:t>Grete Brochmann</w:t>
        </w:r>
      </w:hyperlink>
      <w:r w:rsidR="003746C2" w:rsidRPr="00C90EC0">
        <w:rPr>
          <w:rFonts w:eastAsia="Times New Roman" w:cs="Arial"/>
          <w:bdr w:val="none" w:sz="0" w:space="0" w:color="auto" w:frame="1"/>
          <w:lang w:eastAsia="en-IE"/>
        </w:rPr>
        <w:t>, ‘</w:t>
      </w:r>
      <w:r w:rsidR="003746C2" w:rsidRPr="00B16052">
        <w:t>Stuck in Transit: Secondary Migration of Asylum Seekers in Europe, National Differences, and the Dublin Regulation</w:t>
      </w:r>
      <w:r w:rsidR="003746C2">
        <w:t xml:space="preserve">’ </w:t>
      </w:r>
      <w:r w:rsidR="003746C2" w:rsidRPr="00C90EC0">
        <w:rPr>
          <w:rFonts w:eastAsia="Times New Roman" w:cs="Arial"/>
          <w:i/>
          <w:iCs/>
          <w:bdr w:val="none" w:sz="0" w:space="0" w:color="auto" w:frame="1"/>
          <w:lang w:eastAsia="en-IE"/>
        </w:rPr>
        <w:t>Journal of Refugee Studies</w:t>
      </w:r>
      <w:r w:rsidR="003746C2">
        <w:rPr>
          <w:rFonts w:eastAsia="Times New Roman" w:cs="Arial"/>
          <w:lang w:eastAsia="en-IE"/>
        </w:rPr>
        <w:t xml:space="preserve"> (2015) 2</w:t>
      </w:r>
      <w:r w:rsidR="003746C2" w:rsidRPr="00C90EC0">
        <w:rPr>
          <w:rFonts w:eastAsia="Times New Roman" w:cs="Arial"/>
          <w:lang w:eastAsia="en-IE"/>
        </w:rPr>
        <w:t>8</w:t>
      </w:r>
      <w:r w:rsidR="003746C2">
        <w:rPr>
          <w:rFonts w:eastAsia="Times New Roman" w:cs="Arial"/>
          <w:lang w:eastAsia="en-IE"/>
        </w:rPr>
        <w:t>(</w:t>
      </w:r>
      <w:r w:rsidR="003746C2" w:rsidRPr="00C90EC0">
        <w:rPr>
          <w:rFonts w:eastAsia="Times New Roman" w:cs="Arial"/>
          <w:lang w:eastAsia="en-IE"/>
        </w:rPr>
        <w:t>2</w:t>
      </w:r>
      <w:r w:rsidR="003746C2">
        <w:rPr>
          <w:rFonts w:eastAsia="Times New Roman" w:cs="Arial"/>
          <w:lang w:eastAsia="en-IE"/>
        </w:rPr>
        <w:t xml:space="preserve">): </w:t>
      </w:r>
      <w:r w:rsidR="003746C2" w:rsidRPr="00C90EC0">
        <w:rPr>
          <w:rFonts w:eastAsia="Times New Roman" w:cs="Arial"/>
          <w:lang w:eastAsia="en-IE"/>
        </w:rPr>
        <w:t>145–162</w:t>
      </w:r>
    </w:p>
    <w:p w:rsidR="003746C2" w:rsidRDefault="003746C2" w:rsidP="003746C2">
      <w:pPr>
        <w:pStyle w:val="ListParagraph"/>
        <w:shd w:val="clear" w:color="auto" w:fill="FFFFFF"/>
        <w:spacing w:after="0"/>
        <w:textAlignment w:val="baseline"/>
        <w:rPr>
          <w:rFonts w:eastAsia="Times New Roman" w:cs="Arial"/>
          <w:lang w:eastAsia="en-IE"/>
        </w:rPr>
      </w:pPr>
    </w:p>
    <w:p w:rsidR="003746C2" w:rsidRPr="003746C2" w:rsidRDefault="003746C2" w:rsidP="003746C2">
      <w:pPr>
        <w:spacing w:after="0"/>
        <w:rPr>
          <w:rFonts w:eastAsia="Times New Roman" w:cs="Arial"/>
          <w:b/>
          <w:u w:val="single"/>
          <w:lang w:eastAsia="en-IE"/>
        </w:rPr>
      </w:pPr>
      <w:r w:rsidRPr="003746C2">
        <w:rPr>
          <w:rFonts w:eastAsia="Times New Roman" w:cs="Arial"/>
          <w:b/>
          <w:u w:val="single"/>
          <w:lang w:eastAsia="en-IE"/>
        </w:rPr>
        <w:t xml:space="preserve">Seminar 4 – </w:t>
      </w:r>
      <w:r w:rsidRPr="003746C2">
        <w:rPr>
          <w:rFonts w:eastAsia="Times New Roman" w:cs="Times New Roman"/>
          <w:b/>
          <w:u w:val="single"/>
          <w:lang w:eastAsia="en-IE"/>
        </w:rPr>
        <w:t>The ‘refugee crisis’ and the EU response:</w:t>
      </w:r>
    </w:p>
    <w:p w:rsidR="003746C2" w:rsidRPr="00C90EC0" w:rsidRDefault="00D95EDF" w:rsidP="003746C2">
      <w:pPr>
        <w:pStyle w:val="ListParagraph"/>
        <w:numPr>
          <w:ilvl w:val="0"/>
          <w:numId w:val="25"/>
        </w:numPr>
        <w:shd w:val="clear" w:color="auto" w:fill="FFFFFF"/>
        <w:spacing w:after="165"/>
        <w:textAlignment w:val="baseline"/>
        <w:rPr>
          <w:rFonts w:eastAsia="Times New Roman" w:cs="Arial"/>
          <w:lang w:eastAsia="en-IE"/>
        </w:rPr>
      </w:pPr>
      <w:hyperlink r:id="rId15" w:history="1">
        <w:r w:rsidR="003746C2" w:rsidRPr="00C90EC0">
          <w:rPr>
            <w:rFonts w:eastAsia="Times New Roman" w:cs="Arial"/>
            <w:bdr w:val="none" w:sz="0" w:space="0" w:color="auto" w:frame="1"/>
            <w:lang w:eastAsia="en-IE"/>
          </w:rPr>
          <w:t>Geoff Gilbert</w:t>
        </w:r>
      </w:hyperlink>
      <w:r w:rsidR="003746C2" w:rsidRPr="00C90EC0">
        <w:rPr>
          <w:rFonts w:eastAsia="Times New Roman" w:cs="Arial"/>
          <w:lang w:eastAsia="en-IE"/>
        </w:rPr>
        <w:t>, ‘</w:t>
      </w:r>
      <w:r w:rsidR="003746C2" w:rsidRPr="00C90EC0">
        <w:rPr>
          <w:rFonts w:eastAsia="Times New Roman" w:cs="Times New Roman"/>
          <w:bCs/>
          <w:kern w:val="36"/>
          <w:lang w:eastAsia="en-IE"/>
        </w:rPr>
        <w:t>Why Europe Does Not Have a Refugee </w:t>
      </w:r>
      <w:r w:rsidR="003746C2" w:rsidRPr="00C90EC0">
        <w:rPr>
          <w:rFonts w:eastAsia="Times New Roman" w:cs="Times New Roman"/>
          <w:bCs/>
          <w:i/>
          <w:iCs/>
          <w:kern w:val="36"/>
          <w:bdr w:val="none" w:sz="0" w:space="0" w:color="auto" w:frame="1"/>
          <w:lang w:eastAsia="en-IE"/>
        </w:rPr>
        <w:t>Crisis’</w:t>
      </w:r>
      <w:r w:rsidR="003746C2" w:rsidRPr="00C90EC0">
        <w:rPr>
          <w:rFonts w:eastAsia="Times New Roman" w:cs="Arial"/>
          <w:lang w:eastAsia="en-IE"/>
        </w:rPr>
        <w:t xml:space="preserve">, </w:t>
      </w:r>
      <w:r w:rsidR="003746C2" w:rsidRPr="00C90EC0">
        <w:rPr>
          <w:rFonts w:eastAsia="Times New Roman" w:cs="Arial"/>
          <w:i/>
          <w:iCs/>
          <w:bdr w:val="none" w:sz="0" w:space="0" w:color="auto" w:frame="1"/>
          <w:lang w:eastAsia="en-IE"/>
        </w:rPr>
        <w:t>International Journal of Refugee Law</w:t>
      </w:r>
      <w:r w:rsidR="003746C2">
        <w:rPr>
          <w:rFonts w:eastAsia="Times New Roman" w:cs="Arial"/>
          <w:lang w:eastAsia="en-IE"/>
        </w:rPr>
        <w:t xml:space="preserve"> (2015) 27(</w:t>
      </w:r>
      <w:r w:rsidR="003746C2" w:rsidRPr="00C90EC0">
        <w:rPr>
          <w:rFonts w:eastAsia="Times New Roman" w:cs="Arial"/>
          <w:lang w:eastAsia="en-IE"/>
        </w:rPr>
        <w:t>4</w:t>
      </w:r>
      <w:r w:rsidR="003746C2">
        <w:rPr>
          <w:rFonts w:eastAsia="Times New Roman" w:cs="Arial"/>
          <w:lang w:eastAsia="en-IE"/>
        </w:rPr>
        <w:t>):</w:t>
      </w:r>
      <w:r w:rsidR="003746C2" w:rsidRPr="00C90EC0">
        <w:rPr>
          <w:rFonts w:eastAsia="Times New Roman" w:cs="Arial"/>
          <w:lang w:eastAsia="en-IE"/>
        </w:rPr>
        <w:t xml:space="preserve"> 531–535</w:t>
      </w:r>
    </w:p>
    <w:p w:rsidR="003746C2" w:rsidRPr="00C90EC0" w:rsidRDefault="00D95EDF" w:rsidP="003746C2">
      <w:pPr>
        <w:pStyle w:val="ListParagraph"/>
        <w:numPr>
          <w:ilvl w:val="0"/>
          <w:numId w:val="25"/>
        </w:numPr>
        <w:shd w:val="clear" w:color="auto" w:fill="FFFFFF"/>
        <w:spacing w:after="165"/>
        <w:textAlignment w:val="baseline"/>
        <w:rPr>
          <w:rFonts w:eastAsia="Times New Roman" w:cs="Arial"/>
          <w:lang w:eastAsia="en-IE"/>
        </w:rPr>
      </w:pPr>
      <w:hyperlink r:id="rId16" w:history="1">
        <w:r w:rsidR="003746C2" w:rsidRPr="00C90EC0">
          <w:rPr>
            <w:rFonts w:eastAsia="Times New Roman" w:cs="Arial"/>
            <w:bdr w:val="none" w:sz="0" w:space="0" w:color="auto" w:frame="1"/>
            <w:lang w:eastAsia="en-IE"/>
          </w:rPr>
          <w:t>Satoko Horii</w:t>
        </w:r>
      </w:hyperlink>
      <w:r w:rsidR="003746C2" w:rsidRPr="00C90EC0">
        <w:rPr>
          <w:rFonts w:eastAsia="Times New Roman" w:cs="Arial"/>
          <w:lang w:eastAsia="en-IE"/>
        </w:rPr>
        <w:t>, ‘</w:t>
      </w:r>
      <w:r w:rsidR="003746C2" w:rsidRPr="00C90EC0">
        <w:rPr>
          <w:rFonts w:eastAsia="Times New Roman" w:cs="Times New Roman"/>
          <w:bCs/>
          <w:kern w:val="36"/>
          <w:lang w:eastAsia="en-IE"/>
        </w:rPr>
        <w:t>Accountability, Dependency, and EU Agencies: The Hotspot Approach in the Refugee Crisis</w:t>
      </w:r>
      <w:r w:rsidR="003746C2" w:rsidRPr="00C90EC0">
        <w:rPr>
          <w:rFonts w:eastAsia="Times New Roman" w:cs="Arial"/>
          <w:lang w:eastAsia="en-IE"/>
        </w:rPr>
        <w:t xml:space="preserve">’ </w:t>
      </w:r>
      <w:r w:rsidR="003746C2" w:rsidRPr="00C90EC0">
        <w:rPr>
          <w:rFonts w:eastAsia="Times New Roman" w:cs="Arial"/>
          <w:i/>
          <w:iCs/>
          <w:bdr w:val="none" w:sz="0" w:space="0" w:color="auto" w:frame="1"/>
          <w:lang w:eastAsia="en-IE"/>
        </w:rPr>
        <w:t>Refugee Survey Quarterly</w:t>
      </w:r>
      <w:r w:rsidR="003746C2">
        <w:rPr>
          <w:rFonts w:eastAsia="Times New Roman" w:cs="Arial"/>
          <w:lang w:eastAsia="en-IE"/>
        </w:rPr>
        <w:t xml:space="preserve"> (2018) </w:t>
      </w:r>
      <w:r w:rsidR="003746C2" w:rsidRPr="00C90EC0">
        <w:rPr>
          <w:rFonts w:eastAsia="Times New Roman" w:cs="Arial"/>
          <w:lang w:eastAsia="en-IE"/>
        </w:rPr>
        <w:t>37</w:t>
      </w:r>
      <w:r w:rsidR="003746C2">
        <w:rPr>
          <w:rFonts w:eastAsia="Times New Roman" w:cs="Arial"/>
          <w:lang w:eastAsia="en-IE"/>
        </w:rPr>
        <w:t>(</w:t>
      </w:r>
      <w:r w:rsidR="003746C2" w:rsidRPr="00C90EC0">
        <w:rPr>
          <w:rFonts w:eastAsia="Times New Roman" w:cs="Arial"/>
          <w:lang w:eastAsia="en-IE"/>
        </w:rPr>
        <w:t>2</w:t>
      </w:r>
      <w:r w:rsidR="003746C2">
        <w:rPr>
          <w:rFonts w:eastAsia="Times New Roman" w:cs="Arial"/>
          <w:lang w:eastAsia="en-IE"/>
        </w:rPr>
        <w:t>):</w:t>
      </w:r>
      <w:r w:rsidR="003746C2" w:rsidRPr="00C90EC0">
        <w:rPr>
          <w:rFonts w:eastAsia="Times New Roman" w:cs="Arial"/>
          <w:lang w:eastAsia="en-IE"/>
        </w:rPr>
        <w:t xml:space="preserve"> 204–230</w:t>
      </w:r>
    </w:p>
    <w:p w:rsidR="007A7E8C" w:rsidRPr="003746C2" w:rsidRDefault="00D95EDF" w:rsidP="003746C2">
      <w:pPr>
        <w:pStyle w:val="ListParagraph"/>
        <w:numPr>
          <w:ilvl w:val="0"/>
          <w:numId w:val="25"/>
        </w:numPr>
        <w:shd w:val="clear" w:color="auto" w:fill="FFFFFF"/>
        <w:textAlignment w:val="baseline"/>
        <w:rPr>
          <w:rFonts w:eastAsia="Times New Roman" w:cs="Arial"/>
          <w:lang w:eastAsia="en-IE"/>
        </w:rPr>
      </w:pPr>
      <w:hyperlink r:id="rId17" w:history="1">
        <w:r w:rsidR="003746C2" w:rsidRPr="00C90EC0">
          <w:rPr>
            <w:rFonts w:eastAsia="Times New Roman" w:cs="Arial"/>
            <w:bdr w:val="none" w:sz="0" w:space="0" w:color="auto" w:frame="1"/>
            <w:lang w:eastAsia="en-IE"/>
          </w:rPr>
          <w:t>Danielle Gluns</w:t>
        </w:r>
      </w:hyperlink>
      <w:r w:rsidR="003746C2" w:rsidRPr="00C90EC0">
        <w:rPr>
          <w:rFonts w:eastAsia="Times New Roman" w:cs="Arial"/>
          <w:lang w:eastAsia="en-IE"/>
        </w:rPr>
        <w:t> </w:t>
      </w:r>
      <w:hyperlink r:id="rId18" w:history="1">
        <w:r w:rsidR="003746C2" w:rsidRPr="00C90EC0">
          <w:rPr>
            <w:rFonts w:eastAsia="Times New Roman" w:cs="Arial"/>
            <w:bdr w:val="none" w:sz="0" w:space="0" w:color="auto" w:frame="1"/>
            <w:lang w:eastAsia="en-IE"/>
          </w:rPr>
          <w:t>Janna Wessels</w:t>
        </w:r>
      </w:hyperlink>
      <w:r w:rsidR="003746C2" w:rsidRPr="00C90EC0">
        <w:rPr>
          <w:rFonts w:eastAsia="Times New Roman" w:cs="Arial"/>
          <w:lang w:eastAsia="en-IE"/>
        </w:rPr>
        <w:t>, ‘</w:t>
      </w:r>
      <w:r w:rsidR="003746C2" w:rsidRPr="00C90EC0">
        <w:rPr>
          <w:rFonts w:eastAsia="Times New Roman" w:cs="Times New Roman"/>
          <w:bCs/>
          <w:kern w:val="36"/>
          <w:lang w:eastAsia="en-IE"/>
        </w:rPr>
        <w:t>Waste of Paper or Useful Tool? The Potential of the Temporary Protection Directive in the Current “Refugee Crisis”’</w:t>
      </w:r>
      <w:r w:rsidR="003746C2" w:rsidRPr="00C90EC0">
        <w:rPr>
          <w:rFonts w:eastAsia="Times New Roman" w:cs="Arial"/>
          <w:lang w:eastAsia="en-IE"/>
        </w:rPr>
        <w:t xml:space="preserve"> </w:t>
      </w:r>
      <w:r w:rsidR="003746C2" w:rsidRPr="00C90EC0">
        <w:rPr>
          <w:rFonts w:eastAsia="Times New Roman" w:cs="Arial"/>
          <w:i/>
          <w:iCs/>
          <w:bdr w:val="none" w:sz="0" w:space="0" w:color="auto" w:frame="1"/>
          <w:lang w:eastAsia="en-IE"/>
        </w:rPr>
        <w:t>Refugee Survey Quarterly</w:t>
      </w:r>
      <w:r w:rsidR="003746C2">
        <w:rPr>
          <w:rFonts w:eastAsia="Times New Roman" w:cs="Arial"/>
          <w:lang w:eastAsia="en-IE"/>
        </w:rPr>
        <w:t xml:space="preserve"> (2017) 36(</w:t>
      </w:r>
      <w:r w:rsidR="003746C2" w:rsidRPr="00C90EC0">
        <w:rPr>
          <w:rFonts w:eastAsia="Times New Roman" w:cs="Arial"/>
          <w:lang w:eastAsia="en-IE"/>
        </w:rPr>
        <w:t>2</w:t>
      </w:r>
      <w:r w:rsidR="003746C2">
        <w:rPr>
          <w:rFonts w:eastAsia="Times New Roman" w:cs="Arial"/>
          <w:lang w:eastAsia="en-IE"/>
        </w:rPr>
        <w:t xml:space="preserve">): </w:t>
      </w:r>
      <w:r w:rsidR="003746C2" w:rsidRPr="00C90EC0">
        <w:rPr>
          <w:rFonts w:eastAsia="Times New Roman" w:cs="Arial"/>
          <w:lang w:eastAsia="en-IE"/>
        </w:rPr>
        <w:t>57–83</w:t>
      </w:r>
    </w:p>
    <w:sectPr w:rsidR="007A7E8C" w:rsidRPr="003746C2" w:rsidSect="0024329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BA5" w:rsidRDefault="00B96BA5">
      <w:pPr>
        <w:spacing w:after="0" w:line="240" w:lineRule="auto"/>
      </w:pPr>
      <w:r>
        <w:separator/>
      </w:r>
    </w:p>
  </w:endnote>
  <w:endnote w:type="continuationSeparator" w:id="0">
    <w:p w:rsidR="00B96BA5" w:rsidRDefault="00B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1001"/>
      <w:docPartObj>
        <w:docPartGallery w:val="Page Numbers (Bottom of Page)"/>
        <w:docPartUnique/>
      </w:docPartObj>
    </w:sdtPr>
    <w:sdtEndPr/>
    <w:sdtContent>
      <w:p w:rsidR="006C3415" w:rsidRDefault="001966F6">
        <w:pPr>
          <w:pStyle w:val="Footer"/>
          <w:jc w:val="right"/>
        </w:pPr>
        <w:r>
          <w:fldChar w:fldCharType="begin"/>
        </w:r>
        <w:r>
          <w:instrText xml:space="preserve"> PAGE   \* MERGEFORMAT </w:instrText>
        </w:r>
        <w:r>
          <w:fldChar w:fldCharType="separate"/>
        </w:r>
        <w:r w:rsidR="00D95EDF">
          <w:rPr>
            <w:noProof/>
          </w:rPr>
          <w:t>1</w:t>
        </w:r>
        <w:r>
          <w:rPr>
            <w:noProof/>
          </w:rPr>
          <w:fldChar w:fldCharType="end"/>
        </w:r>
      </w:p>
    </w:sdtContent>
  </w:sdt>
  <w:p w:rsidR="006C3415" w:rsidRDefault="00D95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BA5" w:rsidRDefault="00B96BA5">
      <w:pPr>
        <w:spacing w:after="0" w:line="240" w:lineRule="auto"/>
      </w:pPr>
      <w:r>
        <w:separator/>
      </w:r>
    </w:p>
  </w:footnote>
  <w:footnote w:type="continuationSeparator" w:id="0">
    <w:p w:rsidR="00B96BA5" w:rsidRDefault="00B96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AC3"/>
    <w:multiLevelType w:val="hybridMultilevel"/>
    <w:tmpl w:val="04268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A85494"/>
    <w:multiLevelType w:val="hybridMultilevel"/>
    <w:tmpl w:val="FC6C4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09552C"/>
    <w:multiLevelType w:val="hybridMultilevel"/>
    <w:tmpl w:val="A0E05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8A3A79"/>
    <w:multiLevelType w:val="hybridMultilevel"/>
    <w:tmpl w:val="0A1C2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7A0F37"/>
    <w:multiLevelType w:val="hybridMultilevel"/>
    <w:tmpl w:val="CA2ED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E4C22"/>
    <w:multiLevelType w:val="hybridMultilevel"/>
    <w:tmpl w:val="A992B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705F0A"/>
    <w:multiLevelType w:val="hybridMultilevel"/>
    <w:tmpl w:val="98B83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F939F2"/>
    <w:multiLevelType w:val="hybridMultilevel"/>
    <w:tmpl w:val="418CF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501456"/>
    <w:multiLevelType w:val="hybridMultilevel"/>
    <w:tmpl w:val="F62A3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1D186F"/>
    <w:multiLevelType w:val="hybridMultilevel"/>
    <w:tmpl w:val="D2545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D312A4"/>
    <w:multiLevelType w:val="hybridMultilevel"/>
    <w:tmpl w:val="ABF08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C400CA"/>
    <w:multiLevelType w:val="hybridMultilevel"/>
    <w:tmpl w:val="F006C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0E702B"/>
    <w:multiLevelType w:val="hybridMultilevel"/>
    <w:tmpl w:val="05D89284"/>
    <w:lvl w:ilvl="0" w:tplc="04090005">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A044F"/>
    <w:multiLevelType w:val="hybridMultilevel"/>
    <w:tmpl w:val="4FCC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742ED1"/>
    <w:multiLevelType w:val="hybridMultilevel"/>
    <w:tmpl w:val="AE185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302B00"/>
    <w:multiLevelType w:val="hybridMultilevel"/>
    <w:tmpl w:val="82684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FA66D3"/>
    <w:multiLevelType w:val="hybridMultilevel"/>
    <w:tmpl w:val="DEAC0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560B2C"/>
    <w:multiLevelType w:val="hybridMultilevel"/>
    <w:tmpl w:val="9CDAF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266C38"/>
    <w:multiLevelType w:val="hybridMultilevel"/>
    <w:tmpl w:val="85720E6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2A62DC"/>
    <w:multiLevelType w:val="hybridMultilevel"/>
    <w:tmpl w:val="AAF88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337138"/>
    <w:multiLevelType w:val="hybridMultilevel"/>
    <w:tmpl w:val="26E43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1770BC"/>
    <w:multiLevelType w:val="hybridMultilevel"/>
    <w:tmpl w:val="4AC02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C44057"/>
    <w:multiLevelType w:val="hybridMultilevel"/>
    <w:tmpl w:val="CEA07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4F2BA4"/>
    <w:multiLevelType w:val="hybridMultilevel"/>
    <w:tmpl w:val="C8AE36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A523CF"/>
    <w:multiLevelType w:val="hybridMultilevel"/>
    <w:tmpl w:val="FEA83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23"/>
  </w:num>
  <w:num w:numId="5">
    <w:abstractNumId w:val="8"/>
  </w:num>
  <w:num w:numId="6">
    <w:abstractNumId w:val="21"/>
  </w:num>
  <w:num w:numId="7">
    <w:abstractNumId w:val="12"/>
  </w:num>
  <w:num w:numId="8">
    <w:abstractNumId w:val="24"/>
  </w:num>
  <w:num w:numId="9">
    <w:abstractNumId w:val="11"/>
  </w:num>
  <w:num w:numId="10">
    <w:abstractNumId w:val="10"/>
  </w:num>
  <w:num w:numId="11">
    <w:abstractNumId w:val="19"/>
  </w:num>
  <w:num w:numId="12">
    <w:abstractNumId w:val="16"/>
  </w:num>
  <w:num w:numId="13">
    <w:abstractNumId w:val="4"/>
  </w:num>
  <w:num w:numId="14">
    <w:abstractNumId w:val="3"/>
  </w:num>
  <w:num w:numId="15">
    <w:abstractNumId w:val="14"/>
  </w:num>
  <w:num w:numId="16">
    <w:abstractNumId w:val="9"/>
  </w:num>
  <w:num w:numId="17">
    <w:abstractNumId w:val="2"/>
  </w:num>
  <w:num w:numId="18">
    <w:abstractNumId w:val="6"/>
  </w:num>
  <w:num w:numId="19">
    <w:abstractNumId w:val="20"/>
  </w:num>
  <w:num w:numId="20">
    <w:abstractNumId w:val="0"/>
  </w:num>
  <w:num w:numId="21">
    <w:abstractNumId w:val="5"/>
  </w:num>
  <w:num w:numId="22">
    <w:abstractNumId w:val="15"/>
  </w:num>
  <w:num w:numId="23">
    <w:abstractNumId w:val="18"/>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8C"/>
    <w:rsid w:val="00010CF7"/>
    <w:rsid w:val="001966F6"/>
    <w:rsid w:val="002E18D8"/>
    <w:rsid w:val="003746C2"/>
    <w:rsid w:val="007A7E8C"/>
    <w:rsid w:val="00B96BA5"/>
    <w:rsid w:val="00D95EDF"/>
    <w:rsid w:val="00F53F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55647-5855-45FE-BBF6-3EDD685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8C"/>
    <w:pPr>
      <w:spacing w:after="200" w:line="276" w:lineRule="auto"/>
    </w:pPr>
    <w:rPr>
      <w:rFonts w:eastAsiaTheme="minorEastAsia"/>
      <w:lang w:eastAsia="ko-KR"/>
    </w:rPr>
  </w:style>
  <w:style w:type="paragraph" w:styleId="Heading1">
    <w:name w:val="heading 1"/>
    <w:basedOn w:val="Normal"/>
    <w:next w:val="Normal"/>
    <w:link w:val="Heading1Char"/>
    <w:uiPriority w:val="9"/>
    <w:qFormat/>
    <w:rsid w:val="007A7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A7E8C"/>
    <w:pPr>
      <w:keepNext/>
      <w:spacing w:after="0" w:line="240" w:lineRule="auto"/>
      <w:jc w:val="center"/>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E8C"/>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A7E8C"/>
    <w:pPr>
      <w:ind w:left="720"/>
      <w:contextualSpacing/>
    </w:pPr>
  </w:style>
  <w:style w:type="character" w:styleId="Hyperlink">
    <w:name w:val="Hyperlink"/>
    <w:basedOn w:val="DefaultParagraphFont"/>
    <w:uiPriority w:val="99"/>
    <w:unhideWhenUsed/>
    <w:rsid w:val="007A7E8C"/>
    <w:rPr>
      <w:color w:val="0563C1" w:themeColor="hyperlink"/>
      <w:u w:val="single"/>
    </w:rPr>
  </w:style>
  <w:style w:type="character" w:styleId="Emphasis">
    <w:name w:val="Emphasis"/>
    <w:uiPriority w:val="20"/>
    <w:qFormat/>
    <w:rsid w:val="007A7E8C"/>
    <w:rPr>
      <w:i/>
      <w:iCs/>
    </w:rPr>
  </w:style>
  <w:style w:type="paragraph" w:styleId="NormalWeb">
    <w:name w:val="Normal (Web)"/>
    <w:basedOn w:val="Normal"/>
    <w:uiPriority w:val="99"/>
    <w:rsid w:val="007A7E8C"/>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7A7E8C"/>
    <w:pPr>
      <w:spacing w:after="0" w:line="240" w:lineRule="auto"/>
      <w:jc w:val="center"/>
      <w:outlineLvl w:val="0"/>
    </w:pPr>
    <w:rPr>
      <w:rFonts w:ascii="Arial" w:eastAsia="Times New Roman" w:hAnsi="Arial" w:cs="Arial"/>
      <w:b/>
      <w:bCs/>
      <w:sz w:val="48"/>
      <w:szCs w:val="24"/>
      <w:lang w:val="en-GB" w:eastAsia="en-US"/>
    </w:rPr>
  </w:style>
  <w:style w:type="character" w:customStyle="1" w:styleId="TitleChar">
    <w:name w:val="Title Char"/>
    <w:basedOn w:val="DefaultParagraphFont"/>
    <w:link w:val="Title"/>
    <w:rsid w:val="007A7E8C"/>
    <w:rPr>
      <w:rFonts w:ascii="Arial" w:eastAsia="Times New Roman" w:hAnsi="Arial" w:cs="Arial"/>
      <w:b/>
      <w:bCs/>
      <w:sz w:val="48"/>
      <w:szCs w:val="24"/>
      <w:lang w:val="en-GB"/>
    </w:rPr>
  </w:style>
  <w:style w:type="character" w:customStyle="1" w:styleId="object">
    <w:name w:val="object"/>
    <w:basedOn w:val="DefaultParagraphFont"/>
    <w:rsid w:val="007A7E8C"/>
  </w:style>
  <w:style w:type="paragraph" w:styleId="Footer">
    <w:name w:val="footer"/>
    <w:basedOn w:val="Normal"/>
    <w:link w:val="FooterChar"/>
    <w:uiPriority w:val="99"/>
    <w:unhideWhenUsed/>
    <w:rsid w:val="007A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E8C"/>
    <w:rPr>
      <w:rFonts w:eastAsiaTheme="minorEastAsia"/>
      <w:lang w:eastAsia="ko-KR"/>
    </w:rPr>
  </w:style>
  <w:style w:type="character" w:styleId="Strong">
    <w:name w:val="Strong"/>
    <w:basedOn w:val="DefaultParagraphFont"/>
    <w:uiPriority w:val="22"/>
    <w:qFormat/>
    <w:rsid w:val="007A7E8C"/>
    <w:rPr>
      <w:b/>
      <w:bCs/>
    </w:rPr>
  </w:style>
  <w:style w:type="character" w:customStyle="1" w:styleId="apple-converted-space">
    <w:name w:val="apple-converted-space"/>
    <w:basedOn w:val="DefaultParagraphFont"/>
    <w:rsid w:val="007A7E8C"/>
  </w:style>
  <w:style w:type="character" w:customStyle="1" w:styleId="Heading1Char">
    <w:name w:val="Heading 1 Char"/>
    <w:basedOn w:val="DefaultParagraphFont"/>
    <w:link w:val="Heading1"/>
    <w:uiPriority w:val="9"/>
    <w:rsid w:val="007A7E8C"/>
    <w:rPr>
      <w:rFonts w:asciiTheme="majorHAnsi" w:eastAsiaTheme="majorEastAsia" w:hAnsiTheme="majorHAnsi" w:cstheme="majorBidi"/>
      <w:color w:val="2E74B5" w:themeColor="accent1" w:themeShade="BF"/>
      <w:sz w:val="32"/>
      <w:szCs w:val="32"/>
      <w:lang w:eastAsia="ko-KR"/>
    </w:rPr>
  </w:style>
  <w:style w:type="table" w:styleId="TableGrid">
    <w:name w:val="Table Grid"/>
    <w:basedOn w:val="TableNormal"/>
    <w:uiPriority w:val="59"/>
    <w:rsid w:val="007A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E8C"/>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A7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r.jur.ru.nl/neais/"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iara.m.smyth@nuigalway.ie"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mr.jur.ru.nl/neais/"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Ciara</dc:creator>
  <cp:keywords/>
  <dc:description/>
  <cp:lastModifiedBy>ID</cp:lastModifiedBy>
  <cp:revision>2</cp:revision>
  <dcterms:created xsi:type="dcterms:W3CDTF">2019-08-28T13:53:00Z</dcterms:created>
  <dcterms:modified xsi:type="dcterms:W3CDTF">2019-08-28T13:53:00Z</dcterms:modified>
</cp:coreProperties>
</file>