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47D3D" w14:textId="0C5AC5D8" w:rsidR="005C35F1" w:rsidRDefault="008D7F17" w:rsidP="008D7F17">
      <w:pPr>
        <w:spacing w:line="240" w:lineRule="auto"/>
        <w:jc w:val="center"/>
        <w:rPr>
          <w:b/>
          <w:bCs/>
          <w:lang w:val="en-US"/>
        </w:rPr>
      </w:pPr>
      <w:r w:rsidRPr="008D7F17">
        <w:rPr>
          <w:b/>
          <w:bCs/>
          <w:lang w:val="en-US"/>
        </w:rPr>
        <w:t>Human Rights and Global Governance</w:t>
      </w:r>
    </w:p>
    <w:p w14:paraId="1164A44C" w14:textId="04E21835" w:rsidR="00C01D7B" w:rsidRPr="008D7F17" w:rsidRDefault="00C01D7B" w:rsidP="008D7F17">
      <w:pPr>
        <w:spacing w:line="240" w:lineRule="auto"/>
        <w:jc w:val="center"/>
        <w:rPr>
          <w:b/>
          <w:bCs/>
          <w:lang w:val="en-US"/>
        </w:rPr>
      </w:pPr>
      <w:r>
        <w:rPr>
          <w:b/>
          <w:bCs/>
          <w:lang w:val="en-US"/>
        </w:rPr>
        <w:t>Semester 2</w:t>
      </w:r>
    </w:p>
    <w:p w14:paraId="7CDC8551" w14:textId="4CDF5CF8" w:rsidR="008D7F17" w:rsidRDefault="008D7F17" w:rsidP="008D7F17">
      <w:pPr>
        <w:spacing w:line="240" w:lineRule="auto"/>
        <w:jc w:val="center"/>
      </w:pPr>
      <w:r>
        <w:t>Dr Ekaterina Yahyaoui</w:t>
      </w:r>
    </w:p>
    <w:p w14:paraId="2FFE8656" w14:textId="77777777" w:rsidR="008D7F17" w:rsidRDefault="008D7F17" w:rsidP="008D7F17">
      <w:pPr>
        <w:spacing w:line="240" w:lineRule="auto"/>
        <w:jc w:val="both"/>
      </w:pPr>
    </w:p>
    <w:p w14:paraId="41694F40" w14:textId="6783F874" w:rsidR="008D7F17" w:rsidRPr="008D7F17" w:rsidRDefault="008D7F17" w:rsidP="008D7F17">
      <w:pPr>
        <w:spacing w:line="240" w:lineRule="auto"/>
        <w:jc w:val="both"/>
        <w:rPr>
          <w:b/>
          <w:bCs/>
        </w:rPr>
      </w:pPr>
      <w:r w:rsidRPr="008D7F17">
        <w:rPr>
          <w:b/>
          <w:bCs/>
        </w:rPr>
        <w:t>Description</w:t>
      </w:r>
    </w:p>
    <w:p w14:paraId="50C2A3C5" w14:textId="32F378AD" w:rsidR="008D7F17" w:rsidRDefault="008D7F17" w:rsidP="008D7F17">
      <w:pPr>
        <w:spacing w:line="240" w:lineRule="auto"/>
        <w:jc w:val="both"/>
      </w:pPr>
      <w:r>
        <w:t>The module introduces students to the complexities of human rights operationalisation under the conditions of globalisation that leads to dominance of governance over government. After an introduction to issues raised by the growing complexity of interactions at the global level displacing the traditional role of states as violators and guarantors of human rights, students are familiarised with the idea of globalisation and its multiple consequences in the realm of law. The module specifically focuses on changing actors and changing spaces of law in global governance and their impact on human rights. Migration is utilised as a main case-study. Students are also given opportunity to develop and discuss their own case-studies related to the impact of globalisation on human rights in other areas.</w:t>
      </w:r>
    </w:p>
    <w:p w14:paraId="467320B8" w14:textId="42A4766F" w:rsidR="008D7F17" w:rsidRDefault="008D7F17" w:rsidP="008D7F17">
      <w:pPr>
        <w:spacing w:line="240" w:lineRule="auto"/>
        <w:jc w:val="both"/>
        <w:rPr>
          <w:lang w:val="en-US"/>
        </w:rPr>
      </w:pPr>
    </w:p>
    <w:p w14:paraId="3A6067CD" w14:textId="2F04EBE8" w:rsidR="008D7F17" w:rsidRPr="008D7F17" w:rsidRDefault="008D7F17" w:rsidP="008D7F17">
      <w:pPr>
        <w:spacing w:line="240" w:lineRule="auto"/>
        <w:jc w:val="both"/>
        <w:rPr>
          <w:b/>
          <w:bCs/>
          <w:lang w:val="en-US"/>
        </w:rPr>
      </w:pPr>
      <w:r w:rsidRPr="008D7F17">
        <w:rPr>
          <w:b/>
          <w:bCs/>
          <w:lang w:val="en-US"/>
        </w:rPr>
        <w:t>Learning Outcomes</w:t>
      </w:r>
    </w:p>
    <w:p w14:paraId="3B0E334E" w14:textId="77777777" w:rsidR="008D7F17" w:rsidRDefault="008D7F17" w:rsidP="008D7F17">
      <w:pPr>
        <w:spacing w:line="240" w:lineRule="auto"/>
        <w:jc w:val="both"/>
      </w:pPr>
      <w:r>
        <w:t>The student will be able</w:t>
      </w:r>
    </w:p>
    <w:p w14:paraId="2AD303C4" w14:textId="77777777" w:rsidR="008D7F17" w:rsidRDefault="008D7F17" w:rsidP="008D7F17">
      <w:pPr>
        <w:pStyle w:val="ListParagraph"/>
        <w:numPr>
          <w:ilvl w:val="0"/>
          <w:numId w:val="1"/>
        </w:numPr>
        <w:spacing w:after="0" w:line="240" w:lineRule="auto"/>
        <w:jc w:val="both"/>
      </w:pPr>
      <w:r>
        <w:t>to demonstrate a detailed understanding of the impact of globalisation on law and human rights;</w:t>
      </w:r>
    </w:p>
    <w:p w14:paraId="7C44342A" w14:textId="77777777" w:rsidR="008D7F17" w:rsidRDefault="008D7F17" w:rsidP="008D7F17">
      <w:pPr>
        <w:pStyle w:val="ListParagraph"/>
        <w:numPr>
          <w:ilvl w:val="0"/>
          <w:numId w:val="1"/>
        </w:numPr>
        <w:spacing w:after="0" w:line="240" w:lineRule="auto"/>
        <w:jc w:val="both"/>
      </w:pPr>
      <w:r>
        <w:t>critically evaluate challenges emerging in terms of human rights compliance in global governance;</w:t>
      </w:r>
    </w:p>
    <w:p w14:paraId="5F9237C7" w14:textId="77777777" w:rsidR="008D7F17" w:rsidRDefault="008D7F17" w:rsidP="008D7F17">
      <w:pPr>
        <w:pStyle w:val="ListParagraph"/>
        <w:numPr>
          <w:ilvl w:val="0"/>
          <w:numId w:val="1"/>
        </w:numPr>
        <w:spacing w:after="0" w:line="240" w:lineRule="auto"/>
        <w:jc w:val="both"/>
      </w:pPr>
      <w:r>
        <w:t>critically evaluate the role of global governance actors (beyond states) whose conduct determines state of human rights compliance;</w:t>
      </w:r>
    </w:p>
    <w:p w14:paraId="0772A556" w14:textId="77777777" w:rsidR="008D7F17" w:rsidRDefault="008D7F17" w:rsidP="008D7F17">
      <w:pPr>
        <w:pStyle w:val="ListParagraph"/>
        <w:numPr>
          <w:ilvl w:val="0"/>
          <w:numId w:val="1"/>
        </w:numPr>
        <w:spacing w:after="0" w:line="240" w:lineRule="auto"/>
        <w:jc w:val="both"/>
      </w:pPr>
      <w:r>
        <w:t>envisage strategies utilising available mechanisms to improve situation with human rights compliance in concrete situations.</w:t>
      </w:r>
    </w:p>
    <w:p w14:paraId="52AE3EC8" w14:textId="77777777" w:rsidR="008D7F17" w:rsidRDefault="008D7F17" w:rsidP="008D7F17">
      <w:pPr>
        <w:spacing w:line="240" w:lineRule="auto"/>
        <w:jc w:val="both"/>
        <w:rPr>
          <w:b/>
          <w:bCs/>
          <w:lang w:val="en-US"/>
        </w:rPr>
      </w:pPr>
    </w:p>
    <w:p w14:paraId="64A5788A" w14:textId="73605BCA" w:rsidR="008D7F17" w:rsidRPr="008D7F17" w:rsidRDefault="008D7F17" w:rsidP="008D7F17">
      <w:pPr>
        <w:spacing w:line="240" w:lineRule="auto"/>
        <w:jc w:val="both"/>
        <w:rPr>
          <w:b/>
          <w:bCs/>
          <w:lang w:val="en-US"/>
        </w:rPr>
      </w:pPr>
      <w:r w:rsidRPr="008D7F17">
        <w:rPr>
          <w:b/>
          <w:bCs/>
          <w:lang w:val="en-US"/>
        </w:rPr>
        <w:t>Topics covered</w:t>
      </w:r>
    </w:p>
    <w:p w14:paraId="74258373" w14:textId="40EFD8F0" w:rsidR="008D7F17" w:rsidRDefault="008D7F17" w:rsidP="008D7F17">
      <w:pPr>
        <w:spacing w:line="240" w:lineRule="auto"/>
        <w:jc w:val="both"/>
        <w:rPr>
          <w:rFonts w:eastAsia="Times New Roman" w:cs="Times New Roman"/>
          <w:lang w:eastAsia="en-IE"/>
        </w:rPr>
      </w:pPr>
      <w:r>
        <w:rPr>
          <w:rFonts w:eastAsia="Times New Roman" w:cs="Times New Roman"/>
          <w:lang w:eastAsia="en-IE"/>
        </w:rPr>
        <w:t>Globalisation and its impact on actors, processes and approach to legal regulation</w:t>
      </w:r>
    </w:p>
    <w:p w14:paraId="4C625743" w14:textId="27D45EDE" w:rsidR="008D7F17" w:rsidRDefault="008D7F17" w:rsidP="008D7F17">
      <w:pPr>
        <w:spacing w:line="240" w:lineRule="auto"/>
        <w:jc w:val="both"/>
        <w:rPr>
          <w:rFonts w:eastAsia="Times New Roman" w:cs="Times New Roman"/>
          <w:lang w:eastAsia="en-IE"/>
        </w:rPr>
      </w:pPr>
      <w:r>
        <w:rPr>
          <w:rFonts w:eastAsia="Times New Roman" w:cs="Times New Roman"/>
          <w:lang w:eastAsia="en-IE"/>
        </w:rPr>
        <w:t>Concept of governance and theories of governance</w:t>
      </w:r>
    </w:p>
    <w:p w14:paraId="5E30CFD5" w14:textId="77777777" w:rsidR="008D7F17" w:rsidRDefault="008D7F17" w:rsidP="008D7F17">
      <w:pPr>
        <w:spacing w:line="240" w:lineRule="auto"/>
        <w:jc w:val="both"/>
        <w:rPr>
          <w:rFonts w:eastAsia="Times New Roman" w:cs="Times New Roman"/>
          <w:lang w:eastAsia="en-IE"/>
        </w:rPr>
      </w:pPr>
      <w:r>
        <w:rPr>
          <w:rFonts w:eastAsia="Times New Roman" w:cs="Times New Roman"/>
          <w:lang w:eastAsia="en-IE"/>
        </w:rPr>
        <w:t>State sovereignty and new actors of global governance</w:t>
      </w:r>
    </w:p>
    <w:p w14:paraId="11A1FE5D" w14:textId="6FEFAF63" w:rsidR="008D7F17" w:rsidRDefault="008D7F17" w:rsidP="008D7F17">
      <w:pPr>
        <w:spacing w:line="240" w:lineRule="auto"/>
        <w:jc w:val="both"/>
        <w:rPr>
          <w:rFonts w:eastAsia="Times New Roman" w:cs="Times New Roman"/>
          <w:lang w:eastAsia="en-IE"/>
        </w:rPr>
      </w:pPr>
      <w:r>
        <w:rPr>
          <w:rFonts w:eastAsia="Times New Roman" w:cs="Times New Roman"/>
          <w:lang w:eastAsia="en-IE"/>
        </w:rPr>
        <w:t>Regulation of authority beyond states and impact on human rights compliance</w:t>
      </w:r>
    </w:p>
    <w:p w14:paraId="59285B3B" w14:textId="5B22CED7" w:rsidR="008D7F17" w:rsidRDefault="008D7F17" w:rsidP="008D7F17">
      <w:pPr>
        <w:spacing w:line="240" w:lineRule="auto"/>
        <w:jc w:val="both"/>
        <w:rPr>
          <w:rFonts w:eastAsia="Times New Roman" w:cs="Times New Roman"/>
          <w:lang w:eastAsia="en-IE"/>
        </w:rPr>
      </w:pPr>
      <w:r>
        <w:rPr>
          <w:rFonts w:eastAsia="Times New Roman" w:cs="Times New Roman"/>
          <w:lang w:eastAsia="en-IE"/>
        </w:rPr>
        <w:t>Human rights and state responsibility, states and territory</w:t>
      </w:r>
    </w:p>
    <w:p w14:paraId="0EA8036A" w14:textId="1A6C1F0C" w:rsidR="008D7F17" w:rsidRDefault="008D7F17" w:rsidP="008D7F17">
      <w:pPr>
        <w:spacing w:line="240" w:lineRule="auto"/>
        <w:jc w:val="both"/>
        <w:rPr>
          <w:rFonts w:eastAsia="Times New Roman" w:cs="Times New Roman"/>
          <w:lang w:eastAsia="en-IE"/>
        </w:rPr>
      </w:pPr>
      <w:r>
        <w:rPr>
          <w:rFonts w:eastAsia="Times New Roman" w:cs="Times New Roman"/>
          <w:lang w:eastAsia="en-IE"/>
        </w:rPr>
        <w:t>Case-studies</w:t>
      </w:r>
    </w:p>
    <w:p w14:paraId="37C7971E" w14:textId="7EFD32AF" w:rsidR="008D7F17" w:rsidRDefault="008D7F17" w:rsidP="008D7F17">
      <w:pPr>
        <w:spacing w:line="240" w:lineRule="auto"/>
        <w:jc w:val="both"/>
        <w:rPr>
          <w:lang w:val="en-US"/>
        </w:rPr>
      </w:pPr>
    </w:p>
    <w:p w14:paraId="528E6D24" w14:textId="45D3B202" w:rsidR="008D7F17" w:rsidRPr="008D7F17" w:rsidRDefault="008D7F17" w:rsidP="008D7F17">
      <w:pPr>
        <w:spacing w:line="240" w:lineRule="auto"/>
        <w:jc w:val="both"/>
        <w:rPr>
          <w:b/>
          <w:bCs/>
          <w:lang w:val="en-US"/>
        </w:rPr>
      </w:pPr>
      <w:r w:rsidRPr="008D7F17">
        <w:rPr>
          <w:b/>
          <w:bCs/>
          <w:lang w:val="en-US"/>
        </w:rPr>
        <w:t>Evaluation</w:t>
      </w:r>
    </w:p>
    <w:p w14:paraId="527A22BA" w14:textId="070D9C6B" w:rsidR="008D7F17" w:rsidRDefault="008D7F17" w:rsidP="008D7F17">
      <w:pPr>
        <w:spacing w:line="240" w:lineRule="auto"/>
        <w:jc w:val="both"/>
        <w:rPr>
          <w:lang w:val="en-US"/>
        </w:rPr>
      </w:pPr>
      <w:r>
        <w:rPr>
          <w:lang w:val="en-US"/>
        </w:rPr>
        <w:t>Grouped organization, presentation, and coordination of discussio</w:t>
      </w:r>
      <w:bookmarkStart w:id="0" w:name="_GoBack"/>
      <w:bookmarkEnd w:id="0"/>
      <w:r>
        <w:rPr>
          <w:lang w:val="en-US"/>
        </w:rPr>
        <w:t xml:space="preserve">n of a case-study. This has to be accompanied by a common concept paper (about 500 words) and </w:t>
      </w:r>
      <w:r w:rsidR="008C299A">
        <w:rPr>
          <w:lang w:val="en-US"/>
        </w:rPr>
        <w:t xml:space="preserve">a </w:t>
      </w:r>
      <w:r>
        <w:rPr>
          <w:lang w:val="en-US"/>
        </w:rPr>
        <w:t>selected reading. Subsequently, students have to submit an individual paper detailing their own perspective on the case-study, their critical evaluation of the grouped presentation, their evaluation of their own contribution to the grouped presentation, and their evaluation of the contribution of each member of the group.</w:t>
      </w:r>
    </w:p>
    <w:p w14:paraId="66C361B9" w14:textId="0B97AD10" w:rsidR="008D7F17" w:rsidRDefault="008D7F17" w:rsidP="008D7F17">
      <w:pPr>
        <w:spacing w:line="240" w:lineRule="auto"/>
        <w:jc w:val="both"/>
      </w:pPr>
      <w:r>
        <w:t>Individual paper</w:t>
      </w:r>
      <w:r w:rsidR="008C299A">
        <w:t xml:space="preserve"> </w:t>
      </w:r>
      <w:r>
        <w:t>(</w:t>
      </w:r>
      <w:r w:rsidR="008C299A">
        <w:t>about</w:t>
      </w:r>
      <w:r>
        <w:t xml:space="preserve"> 1500 words): 80%.</w:t>
      </w:r>
    </w:p>
    <w:p w14:paraId="5C593E99" w14:textId="69A624D8" w:rsidR="008D7F17" w:rsidRDefault="008D7F17" w:rsidP="008D7F17">
      <w:pPr>
        <w:spacing w:line="240" w:lineRule="auto"/>
        <w:jc w:val="both"/>
      </w:pPr>
      <w:r>
        <w:t xml:space="preserve">Grouped presentation on the case-study and collective </w:t>
      </w:r>
      <w:r w:rsidR="008C299A">
        <w:t>concept paper</w:t>
      </w:r>
      <w:r>
        <w:t xml:space="preserve"> (500 words): 20%.</w:t>
      </w:r>
    </w:p>
    <w:p w14:paraId="25E06C27" w14:textId="2DA1ED69" w:rsidR="000F3658" w:rsidRDefault="000F3658" w:rsidP="008D7F17">
      <w:pPr>
        <w:spacing w:line="240" w:lineRule="auto"/>
        <w:jc w:val="both"/>
      </w:pPr>
    </w:p>
    <w:p w14:paraId="381D956F" w14:textId="54534160" w:rsidR="000F3658" w:rsidRPr="000F3658" w:rsidRDefault="000F3658" w:rsidP="000F3658">
      <w:pPr>
        <w:spacing w:line="240" w:lineRule="auto"/>
        <w:jc w:val="center"/>
        <w:rPr>
          <w:b/>
          <w:bCs/>
          <w:sz w:val="28"/>
          <w:szCs w:val="28"/>
          <w:lang w:val="en-US"/>
        </w:rPr>
      </w:pPr>
      <w:r w:rsidRPr="000F3658">
        <w:rPr>
          <w:b/>
          <w:bCs/>
          <w:sz w:val="28"/>
          <w:szCs w:val="28"/>
        </w:rPr>
        <w:t>Full course outline will be available on blackboard one week before the beginning of the second semester</w:t>
      </w:r>
    </w:p>
    <w:sectPr w:rsidR="000F3658" w:rsidRPr="000F3658" w:rsidSect="00FE25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DA9"/>
    <w:multiLevelType w:val="hybridMultilevel"/>
    <w:tmpl w:val="4F8E78F0"/>
    <w:lvl w:ilvl="0" w:tplc="25348F8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17"/>
    <w:rsid w:val="00004B1C"/>
    <w:rsid w:val="00032B09"/>
    <w:rsid w:val="000D60A7"/>
    <w:rsid w:val="000F3263"/>
    <w:rsid w:val="000F3658"/>
    <w:rsid w:val="003D6724"/>
    <w:rsid w:val="00673D6A"/>
    <w:rsid w:val="007721F3"/>
    <w:rsid w:val="008C299A"/>
    <w:rsid w:val="008D7F17"/>
    <w:rsid w:val="00A7576D"/>
    <w:rsid w:val="00B57A20"/>
    <w:rsid w:val="00BC1A38"/>
    <w:rsid w:val="00C01D7B"/>
    <w:rsid w:val="00C53E96"/>
    <w:rsid w:val="00E037B9"/>
    <w:rsid w:val="00E344BE"/>
    <w:rsid w:val="00EA474A"/>
    <w:rsid w:val="00F93FCD"/>
    <w:rsid w:val="00FE2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CD2C1F"/>
  <w14:defaultImageDpi w14:val="32767"/>
  <w15:chartTrackingRefBased/>
  <w15:docId w15:val="{7AF6E976-C859-C043-AA16-C7FFDD03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93FCD"/>
    <w:pPr>
      <w:spacing w:line="360" w:lineRule="auto"/>
    </w:pPr>
  </w:style>
  <w:style w:type="paragraph" w:styleId="Heading1">
    <w:name w:val="heading 1"/>
    <w:basedOn w:val="Normal"/>
    <w:next w:val="Normal"/>
    <w:link w:val="Heading1Char"/>
    <w:uiPriority w:val="9"/>
    <w:qFormat/>
    <w:rsid w:val="00C53E96"/>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C53E96"/>
    <w:pPr>
      <w:keepNext/>
      <w:keepLines/>
      <w:spacing w:before="40"/>
      <w:outlineLvl w:val="1"/>
    </w:pPr>
    <w:rPr>
      <w:rFonts w:eastAsiaTheme="majorEastAsia" w:cstheme="majorBidi"/>
      <w:i/>
      <w:sz w:val="26"/>
      <w:szCs w:val="26"/>
    </w:rPr>
  </w:style>
  <w:style w:type="paragraph" w:styleId="Heading3">
    <w:name w:val="heading 3"/>
    <w:basedOn w:val="Normal"/>
    <w:next w:val="Normal"/>
    <w:link w:val="Heading3Char"/>
    <w:autoRedefine/>
    <w:uiPriority w:val="9"/>
    <w:unhideWhenUsed/>
    <w:qFormat/>
    <w:rsid w:val="00A7576D"/>
    <w:pPr>
      <w:keepNext/>
      <w:keepLines/>
      <w:spacing w:before="4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E96"/>
    <w:rPr>
      <w:rFonts w:eastAsiaTheme="majorEastAsia" w:cstheme="majorBidi"/>
      <w:b/>
      <w:sz w:val="28"/>
      <w:szCs w:val="32"/>
    </w:rPr>
  </w:style>
  <w:style w:type="character" w:customStyle="1" w:styleId="Heading2Char">
    <w:name w:val="Heading 2 Char"/>
    <w:basedOn w:val="DefaultParagraphFont"/>
    <w:link w:val="Heading2"/>
    <w:uiPriority w:val="9"/>
    <w:rsid w:val="00C53E96"/>
    <w:rPr>
      <w:rFonts w:eastAsiaTheme="majorEastAsia" w:cstheme="majorBidi"/>
      <w:i/>
      <w:sz w:val="26"/>
      <w:szCs w:val="26"/>
    </w:rPr>
  </w:style>
  <w:style w:type="character" w:customStyle="1" w:styleId="Heading3Char">
    <w:name w:val="Heading 3 Char"/>
    <w:basedOn w:val="DefaultParagraphFont"/>
    <w:link w:val="Heading3"/>
    <w:uiPriority w:val="9"/>
    <w:rsid w:val="00A7576D"/>
    <w:rPr>
      <w:rFonts w:asciiTheme="majorHAnsi" w:eastAsiaTheme="majorEastAsia" w:hAnsiTheme="majorHAnsi" w:cstheme="majorBidi"/>
    </w:rPr>
  </w:style>
  <w:style w:type="paragraph" w:styleId="ListParagraph">
    <w:name w:val="List Paragraph"/>
    <w:basedOn w:val="Normal"/>
    <w:uiPriority w:val="34"/>
    <w:qFormat/>
    <w:rsid w:val="008D7F17"/>
    <w:pPr>
      <w:spacing w:after="200" w:line="276" w:lineRule="auto"/>
      <w:ind w:left="720"/>
      <w:contextualSpacing/>
    </w:pPr>
    <w:rPr>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Yahyaoui, Ekaterina</dc:creator>
  <cp:keywords/>
  <dc:description/>
  <cp:lastModifiedBy>Yahyaoui, Ekaterina</cp:lastModifiedBy>
  <cp:revision>3</cp:revision>
  <dcterms:created xsi:type="dcterms:W3CDTF">2019-08-07T08:37:00Z</dcterms:created>
  <dcterms:modified xsi:type="dcterms:W3CDTF">2019-09-02T08:45:00Z</dcterms:modified>
</cp:coreProperties>
</file>