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49" w:rsidRDefault="00424649" w:rsidP="00424649">
      <w:pPr>
        <w:spacing w:after="0" w:line="240" w:lineRule="auto"/>
        <w:rPr>
          <w:b/>
          <w:color w:val="7030A0"/>
          <w:sz w:val="32"/>
          <w:szCs w:val="32"/>
        </w:rPr>
      </w:pPr>
      <w:r w:rsidRPr="00C47D9B">
        <w:rPr>
          <w:noProof/>
          <w:sz w:val="20"/>
          <w:szCs w:val="20"/>
        </w:rPr>
        <w:drawing>
          <wp:inline distT="0" distB="0" distL="0" distR="0" wp14:anchorId="6BBFD704" wp14:editId="39A8ACF1">
            <wp:extent cx="1216549" cy="378697"/>
            <wp:effectExtent l="0" t="0" r="3175" b="2540"/>
            <wp:docPr id="1" name="Picture 1" descr="NUI_Galway_BrandMark_B_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240"/>
                    <pic:cNvPicPr>
                      <a:picLocks noChangeAspect="1" noChangeArrowheads="1"/>
                    </pic:cNvPicPr>
                  </pic:nvPicPr>
                  <pic:blipFill>
                    <a:blip r:embed="rId7" cstate="print"/>
                    <a:srcRect/>
                    <a:stretch>
                      <a:fillRect/>
                    </a:stretch>
                  </pic:blipFill>
                  <pic:spPr bwMode="auto">
                    <a:xfrm>
                      <a:off x="0" y="0"/>
                      <a:ext cx="1229654" cy="382777"/>
                    </a:xfrm>
                    <a:prstGeom prst="rect">
                      <a:avLst/>
                    </a:prstGeom>
                    <a:noFill/>
                    <a:ln w="9525">
                      <a:noFill/>
                      <a:miter lim="800000"/>
                      <a:headEnd/>
                      <a:tailEnd/>
                    </a:ln>
                  </pic:spPr>
                </pic:pic>
              </a:graphicData>
            </a:graphic>
          </wp:inline>
        </w:drawing>
      </w:r>
    </w:p>
    <w:p w:rsidR="00A26DD8" w:rsidRDefault="00A26DD8" w:rsidP="00A26DD8">
      <w:pPr>
        <w:spacing w:after="0"/>
        <w:jc w:val="center"/>
        <w:rPr>
          <w:rFonts w:eastAsia="Times New Roman" w:cs="Arial"/>
          <w:b/>
          <w:color w:val="333333"/>
          <w:sz w:val="28"/>
          <w:szCs w:val="28"/>
        </w:rPr>
      </w:pPr>
    </w:p>
    <w:p w:rsidR="00A26DD8" w:rsidRPr="00942B3F" w:rsidRDefault="00A26DD8" w:rsidP="00A26DD8">
      <w:pPr>
        <w:spacing w:after="0"/>
        <w:jc w:val="center"/>
        <w:rPr>
          <w:rFonts w:eastAsia="Times New Roman" w:cs="Arial"/>
          <w:b/>
          <w:color w:val="333333"/>
          <w:sz w:val="28"/>
          <w:szCs w:val="28"/>
        </w:rPr>
      </w:pPr>
      <w:r w:rsidRPr="00942B3F">
        <w:rPr>
          <w:rFonts w:eastAsia="Times New Roman" w:cs="Arial"/>
          <w:b/>
          <w:color w:val="333333"/>
          <w:sz w:val="28"/>
          <w:szCs w:val="28"/>
        </w:rPr>
        <w:t>NUI Galway President’s Awards for Research Excellence 2017</w:t>
      </w:r>
    </w:p>
    <w:p w:rsidR="00A26DD8" w:rsidRPr="00077146" w:rsidRDefault="00A26DD8" w:rsidP="00A26DD8">
      <w:pPr>
        <w:spacing w:before="100" w:beforeAutospacing="1"/>
        <w:jc w:val="both"/>
        <w:rPr>
          <w:rFonts w:eastAsia="Times New Roman" w:cs="Arial"/>
          <w:color w:val="333333"/>
        </w:rPr>
      </w:pPr>
      <w:r w:rsidRPr="00077146">
        <w:rPr>
          <w:color w:val="333333"/>
        </w:rPr>
        <w:t>The aim of the President’s Awards for Research Excellence is to award the outstanding contributions of academic and research staff to excellent, relevant, and innovative research that enhances NUI Galway’s reputation at an international level.  This is the fourth year of the awards which recognise the commitment and excellence of our research community in driving innovation and research across all disciplines.</w:t>
      </w:r>
    </w:p>
    <w:p w:rsidR="00A26DD8" w:rsidRPr="00077146" w:rsidRDefault="00A26DD8" w:rsidP="00A26DD8">
      <w:pPr>
        <w:shd w:val="clear" w:color="auto" w:fill="B8CCE4" w:themeFill="accent1" w:themeFillTint="66"/>
        <w:spacing w:after="0" w:line="240" w:lineRule="auto"/>
        <w:ind w:left="567" w:hanging="567"/>
        <w:jc w:val="both"/>
        <w:rPr>
          <w:rFonts w:cs="Arial"/>
          <w:b/>
          <w:color w:val="5F497A" w:themeColor="accent4" w:themeShade="BF"/>
        </w:rPr>
      </w:pPr>
      <w:r w:rsidRPr="00077146">
        <w:rPr>
          <w:rFonts w:cs="Arial"/>
          <w:b/>
          <w:color w:val="5F497A" w:themeColor="accent4" w:themeShade="BF"/>
        </w:rPr>
        <w:t>Categories of Award</w:t>
      </w:r>
    </w:p>
    <w:p w:rsidR="00A26DD8" w:rsidRPr="00077146" w:rsidRDefault="00A26DD8" w:rsidP="00A26DD8">
      <w:pPr>
        <w:pStyle w:val="ListParagraph"/>
        <w:numPr>
          <w:ilvl w:val="0"/>
          <w:numId w:val="5"/>
        </w:numPr>
        <w:tabs>
          <w:tab w:val="num" w:pos="360"/>
        </w:tabs>
        <w:spacing w:before="100" w:beforeAutospacing="1" w:after="165" w:line="240" w:lineRule="auto"/>
        <w:ind w:left="360"/>
        <w:jc w:val="both"/>
        <w:rPr>
          <w:rFonts w:eastAsia="Times New Roman" w:cs="Arial"/>
          <w:b/>
          <w:i/>
          <w:iCs/>
          <w:color w:val="333333"/>
        </w:rPr>
      </w:pPr>
      <w:r w:rsidRPr="00077146">
        <w:rPr>
          <w:rFonts w:eastAsia="Times New Roman" w:cs="Arial"/>
          <w:b/>
          <w:i/>
          <w:iCs/>
          <w:color w:val="333333"/>
        </w:rPr>
        <w:t>Early Stage Researcher Award</w:t>
      </w:r>
    </w:p>
    <w:p w:rsidR="00A26DD8" w:rsidRPr="00077146" w:rsidRDefault="00A26DD8" w:rsidP="00A26DD8">
      <w:pPr>
        <w:pStyle w:val="ListParagraph"/>
        <w:numPr>
          <w:ilvl w:val="0"/>
          <w:numId w:val="6"/>
        </w:numPr>
        <w:spacing w:before="100" w:beforeAutospacing="1" w:after="165"/>
        <w:ind w:left="981" w:hanging="567"/>
        <w:jc w:val="both"/>
        <w:rPr>
          <w:rFonts w:eastAsia="Times New Roman" w:cs="Arial"/>
          <w:iCs/>
          <w:color w:val="333333"/>
        </w:rPr>
      </w:pPr>
      <w:r w:rsidRPr="00077146">
        <w:rPr>
          <w:rFonts w:eastAsia="Times New Roman" w:cs="Arial"/>
          <w:iCs/>
          <w:color w:val="333333"/>
        </w:rPr>
        <w:t>Recognition of research excellence commensurate with career stage</w:t>
      </w:r>
    </w:p>
    <w:p w:rsidR="00A26DD8" w:rsidRPr="00077146" w:rsidRDefault="00A26DD8" w:rsidP="00A26DD8">
      <w:pPr>
        <w:pStyle w:val="ListParagraph"/>
        <w:numPr>
          <w:ilvl w:val="0"/>
          <w:numId w:val="6"/>
        </w:numPr>
        <w:spacing w:before="100" w:beforeAutospacing="1" w:after="165"/>
        <w:ind w:left="981" w:hanging="567"/>
        <w:jc w:val="both"/>
        <w:rPr>
          <w:rFonts w:eastAsia="Times New Roman" w:cs="Arial"/>
          <w:iCs/>
          <w:color w:val="333333"/>
        </w:rPr>
      </w:pPr>
      <w:r w:rsidRPr="00077146">
        <w:rPr>
          <w:rFonts w:eastAsia="Times New Roman" w:cs="Arial"/>
          <w:iCs/>
          <w:color w:val="333333"/>
        </w:rPr>
        <w:t xml:space="preserve">To qualify for this category, nominees must be a contract researcher within 15 years of PhD conferring date </w:t>
      </w:r>
      <w:r w:rsidRPr="00077146">
        <w:rPr>
          <w:rFonts w:eastAsia="Times New Roman" w:cs="Arial"/>
          <w:iCs/>
          <w:color w:val="333333"/>
          <w:u w:val="single"/>
        </w:rPr>
        <w:t>or</w:t>
      </w:r>
      <w:r w:rsidRPr="00077146">
        <w:rPr>
          <w:rFonts w:eastAsia="Times New Roman" w:cs="Arial"/>
          <w:iCs/>
          <w:color w:val="333333"/>
        </w:rPr>
        <w:t xml:space="preserve"> a Lecturer Above/Below the Bar within 15 years of PhD conferring date.</w:t>
      </w:r>
      <w:r w:rsidRPr="00077146">
        <w:rPr>
          <w:rStyle w:val="FootnoteReference"/>
          <w:rFonts w:eastAsia="Times New Roman" w:cs="Arial"/>
          <w:iCs/>
          <w:color w:val="333333"/>
        </w:rPr>
        <w:footnoteReference w:id="1"/>
      </w:r>
    </w:p>
    <w:p w:rsidR="00A26DD8" w:rsidRPr="00077146" w:rsidRDefault="00A26DD8" w:rsidP="00A26DD8">
      <w:pPr>
        <w:pStyle w:val="ListParagraph"/>
        <w:numPr>
          <w:ilvl w:val="0"/>
          <w:numId w:val="5"/>
        </w:numPr>
        <w:spacing w:before="100" w:beforeAutospacing="1" w:after="165"/>
        <w:ind w:left="360"/>
        <w:jc w:val="both"/>
        <w:rPr>
          <w:rFonts w:eastAsia="Times New Roman" w:cs="Arial"/>
          <w:b/>
          <w:i/>
          <w:color w:val="333333"/>
        </w:rPr>
      </w:pPr>
      <w:r w:rsidRPr="00077146">
        <w:rPr>
          <w:rFonts w:eastAsia="Times New Roman" w:cs="Arial"/>
          <w:b/>
          <w:i/>
          <w:iCs/>
          <w:color w:val="333333"/>
        </w:rPr>
        <w:t xml:space="preserve">Established Researcher Award </w:t>
      </w:r>
    </w:p>
    <w:p w:rsidR="00A26DD8" w:rsidRPr="00077146" w:rsidRDefault="00A26DD8" w:rsidP="00A26DD8">
      <w:pPr>
        <w:pStyle w:val="ListParagraph"/>
        <w:numPr>
          <w:ilvl w:val="0"/>
          <w:numId w:val="6"/>
        </w:numPr>
        <w:spacing w:before="100" w:beforeAutospacing="1" w:after="165"/>
        <w:ind w:left="981" w:hanging="567"/>
        <w:jc w:val="both"/>
        <w:rPr>
          <w:rFonts w:eastAsia="Times New Roman" w:cs="Arial"/>
          <w:iCs/>
          <w:color w:val="333333"/>
        </w:rPr>
      </w:pPr>
      <w:r w:rsidRPr="00077146">
        <w:rPr>
          <w:rFonts w:eastAsia="Times New Roman" w:cs="Arial"/>
          <w:iCs/>
          <w:color w:val="333333"/>
        </w:rPr>
        <w:t>Recognition of distinguished achievements/outstanding contributions at an established career stage.</w:t>
      </w:r>
    </w:p>
    <w:p w:rsidR="00A26DD8" w:rsidRPr="00077146" w:rsidRDefault="00A26DD8" w:rsidP="00A26DD8">
      <w:pPr>
        <w:pStyle w:val="ListParagraph"/>
        <w:numPr>
          <w:ilvl w:val="0"/>
          <w:numId w:val="6"/>
        </w:numPr>
        <w:spacing w:before="100" w:beforeAutospacing="1" w:after="165"/>
        <w:ind w:left="981" w:hanging="567"/>
        <w:jc w:val="both"/>
        <w:rPr>
          <w:rFonts w:eastAsia="Times New Roman" w:cs="Arial"/>
          <w:iCs/>
          <w:color w:val="333333"/>
        </w:rPr>
      </w:pPr>
      <w:r w:rsidRPr="00077146">
        <w:rPr>
          <w:rFonts w:eastAsia="Times New Roman" w:cs="Arial"/>
          <w:iCs/>
          <w:color w:val="333333"/>
        </w:rPr>
        <w:t xml:space="preserve">To qualify for this category, nominees must be a contract researcher or a Lecturer Above/Below the Bar </w:t>
      </w:r>
      <w:r w:rsidR="009E0786">
        <w:rPr>
          <w:rFonts w:eastAsia="Times New Roman" w:cs="Arial"/>
          <w:iCs/>
          <w:color w:val="333333"/>
        </w:rPr>
        <w:t>with more than 15 years of post-</w:t>
      </w:r>
      <w:r w:rsidRPr="00077146">
        <w:rPr>
          <w:rFonts w:eastAsia="Times New Roman" w:cs="Arial"/>
          <w:iCs/>
          <w:color w:val="333333"/>
        </w:rPr>
        <w:t xml:space="preserve">PhD experience </w:t>
      </w:r>
      <w:r w:rsidRPr="00077146">
        <w:rPr>
          <w:rFonts w:eastAsia="Times New Roman" w:cs="Arial"/>
          <w:iCs/>
          <w:color w:val="333333"/>
          <w:u w:val="single"/>
        </w:rPr>
        <w:t>or</w:t>
      </w:r>
      <w:r w:rsidRPr="00077146">
        <w:rPr>
          <w:rFonts w:eastAsia="Times New Roman" w:cs="Arial"/>
          <w:iCs/>
          <w:color w:val="333333"/>
        </w:rPr>
        <w:t xml:space="preserve"> a Senior Lecturer or Professor (irrespective of PhD conferring date, Senior Lecturers/Professors must be nominated under the Established Researcher category).</w:t>
      </w:r>
    </w:p>
    <w:p w:rsidR="00A26DD8" w:rsidRPr="00077146" w:rsidRDefault="00A26DD8" w:rsidP="00A26DD8">
      <w:pPr>
        <w:pStyle w:val="ListParagraph"/>
        <w:numPr>
          <w:ilvl w:val="0"/>
          <w:numId w:val="5"/>
        </w:numPr>
        <w:spacing w:before="100" w:beforeAutospacing="1" w:after="165"/>
        <w:ind w:left="360"/>
        <w:jc w:val="both"/>
        <w:rPr>
          <w:rFonts w:eastAsia="Times New Roman" w:cs="Arial"/>
          <w:b/>
          <w:i/>
          <w:color w:val="333333"/>
        </w:rPr>
      </w:pPr>
      <w:r w:rsidRPr="00077146">
        <w:rPr>
          <w:rFonts w:eastAsia="Times New Roman" w:cs="Arial"/>
          <w:b/>
          <w:i/>
          <w:iCs/>
          <w:color w:val="333333"/>
        </w:rPr>
        <w:t xml:space="preserve">Research Supervisor Award </w:t>
      </w:r>
    </w:p>
    <w:p w:rsidR="00A26DD8" w:rsidRPr="00077146" w:rsidRDefault="00A26DD8" w:rsidP="00A26DD8">
      <w:pPr>
        <w:pStyle w:val="ListParagraph"/>
        <w:numPr>
          <w:ilvl w:val="0"/>
          <w:numId w:val="6"/>
        </w:numPr>
        <w:spacing w:before="100" w:beforeAutospacing="1" w:after="165"/>
        <w:ind w:left="981" w:hanging="567"/>
        <w:jc w:val="both"/>
        <w:rPr>
          <w:rFonts w:eastAsia="Times New Roman" w:cs="Arial"/>
          <w:iCs/>
          <w:color w:val="333333"/>
        </w:rPr>
      </w:pPr>
      <w:r w:rsidRPr="00077146">
        <w:rPr>
          <w:rFonts w:eastAsia="Times New Roman" w:cs="Arial"/>
          <w:iCs/>
          <w:color w:val="333333"/>
        </w:rPr>
        <w:t xml:space="preserve">Recognition of excellent PhD supervision and the early career development of PhD students as future researchers. </w:t>
      </w:r>
    </w:p>
    <w:p w:rsidR="00A26DD8" w:rsidRPr="00077146" w:rsidRDefault="00A26DD8" w:rsidP="00A26DD8">
      <w:pPr>
        <w:spacing w:before="100" w:beforeAutospacing="1" w:after="165"/>
        <w:jc w:val="both"/>
        <w:rPr>
          <w:rFonts w:eastAsia="Times New Roman" w:cs="Arial"/>
          <w:iCs/>
          <w:color w:val="333333"/>
        </w:rPr>
      </w:pPr>
      <w:r w:rsidRPr="00077146">
        <w:rPr>
          <w:rFonts w:eastAsia="Times New Roman" w:cs="Arial"/>
          <w:iCs/>
          <w:color w:val="333333"/>
        </w:rPr>
        <w:t xml:space="preserve">Within EACH category, two awards will be made each of </w:t>
      </w:r>
      <w:r w:rsidRPr="00077146">
        <w:rPr>
          <w:rFonts w:eastAsia="Times New Roman" w:cs="Arial"/>
          <w:iCs/>
          <w:color w:val="333333"/>
          <w:u w:val="single"/>
        </w:rPr>
        <w:t>€1,000</w:t>
      </w:r>
      <w:r w:rsidRPr="00077146">
        <w:rPr>
          <w:rFonts w:eastAsia="Times New Roman" w:cs="Arial"/>
          <w:iCs/>
          <w:color w:val="333333"/>
        </w:rPr>
        <w:t xml:space="preserve"> to support the research activity of the recipient or</w:t>
      </w:r>
      <w:r>
        <w:rPr>
          <w:rFonts w:eastAsia="Times New Roman" w:cs="Arial"/>
          <w:iCs/>
          <w:color w:val="333333"/>
        </w:rPr>
        <w:t xml:space="preserve"> the</w:t>
      </w:r>
      <w:r w:rsidRPr="00077146">
        <w:rPr>
          <w:rFonts w:eastAsia="Times New Roman" w:cs="Arial"/>
          <w:iCs/>
          <w:color w:val="333333"/>
        </w:rPr>
        <w:t xml:space="preserve"> continued development of excellent PhD research supervision with </w:t>
      </w:r>
    </w:p>
    <w:p w:rsidR="00A26DD8" w:rsidRPr="00077146" w:rsidRDefault="00A26DD8" w:rsidP="00A26DD8">
      <w:pPr>
        <w:pStyle w:val="ListParagraph"/>
        <w:numPr>
          <w:ilvl w:val="0"/>
          <w:numId w:val="7"/>
        </w:numPr>
        <w:spacing w:before="100" w:beforeAutospacing="1" w:after="165"/>
        <w:jc w:val="both"/>
        <w:rPr>
          <w:rFonts w:eastAsia="Times New Roman" w:cs="Arial"/>
          <w:iCs/>
          <w:color w:val="333333"/>
        </w:rPr>
      </w:pPr>
      <w:r w:rsidRPr="00077146">
        <w:rPr>
          <w:rFonts w:eastAsia="Times New Roman" w:cs="Arial"/>
          <w:iCs/>
          <w:color w:val="333333"/>
        </w:rPr>
        <w:t>One award to a researcher from within the Colleges of Arts, Social Sciences, and Celtic Studies or Business, Public Policy and Law</w:t>
      </w:r>
    </w:p>
    <w:p w:rsidR="00A26DD8" w:rsidRPr="00077146" w:rsidRDefault="00A26DD8" w:rsidP="00A26DD8">
      <w:pPr>
        <w:pStyle w:val="ListParagraph"/>
        <w:numPr>
          <w:ilvl w:val="0"/>
          <w:numId w:val="7"/>
        </w:numPr>
        <w:spacing w:before="100" w:beforeAutospacing="1" w:after="165"/>
        <w:jc w:val="both"/>
        <w:rPr>
          <w:rFonts w:eastAsia="Times New Roman" w:cs="Arial"/>
          <w:iCs/>
          <w:color w:val="333333"/>
        </w:rPr>
      </w:pPr>
      <w:r w:rsidRPr="00077146">
        <w:rPr>
          <w:rFonts w:eastAsia="Times New Roman" w:cs="Arial"/>
          <w:iCs/>
          <w:color w:val="333333"/>
        </w:rPr>
        <w:t>One award to a researcher from within the Colleges of Medicine, Nursing, and Health Sciences, or Science, or Engineering and Informatics</w:t>
      </w:r>
    </w:p>
    <w:p w:rsidR="00A26DD8" w:rsidRPr="00077146" w:rsidRDefault="00A26DD8" w:rsidP="00A26DD8">
      <w:pPr>
        <w:shd w:val="clear" w:color="auto" w:fill="B8CCE4" w:themeFill="accent1" w:themeFillTint="66"/>
        <w:spacing w:after="0" w:line="240" w:lineRule="auto"/>
        <w:ind w:left="567" w:hanging="567"/>
        <w:jc w:val="both"/>
        <w:rPr>
          <w:rFonts w:cs="Arial"/>
          <w:b/>
          <w:color w:val="5F497A" w:themeColor="accent4" w:themeShade="BF"/>
        </w:rPr>
      </w:pPr>
      <w:r w:rsidRPr="00077146">
        <w:rPr>
          <w:rFonts w:cs="Arial"/>
          <w:b/>
          <w:color w:val="5F497A" w:themeColor="accent4" w:themeShade="BF"/>
        </w:rPr>
        <w:t>Evaluation Panel</w:t>
      </w:r>
    </w:p>
    <w:p w:rsidR="00A26DD8" w:rsidRPr="00077146" w:rsidRDefault="00A26DD8" w:rsidP="00A26DD8">
      <w:pPr>
        <w:spacing w:before="100" w:beforeAutospacing="1"/>
        <w:jc w:val="both"/>
        <w:rPr>
          <w:rFonts w:eastAsia="Times New Roman" w:cs="Arial"/>
          <w:color w:val="333333"/>
        </w:rPr>
      </w:pPr>
      <w:r w:rsidRPr="00077146">
        <w:rPr>
          <w:rFonts w:eastAsia="Times New Roman" w:cs="Arial"/>
          <w:color w:val="333333"/>
        </w:rPr>
        <w:t>The assessment panel will comprise:</w:t>
      </w:r>
    </w:p>
    <w:p w:rsidR="002278F9" w:rsidRPr="002278F9" w:rsidRDefault="002278F9" w:rsidP="00A26DD8">
      <w:pPr>
        <w:pStyle w:val="ListParagraph"/>
        <w:numPr>
          <w:ilvl w:val="0"/>
          <w:numId w:val="2"/>
        </w:numPr>
        <w:spacing w:before="100" w:beforeAutospacing="1" w:after="165"/>
        <w:jc w:val="both"/>
        <w:rPr>
          <w:rFonts w:eastAsia="Times New Roman" w:cs="Calibri"/>
          <w:color w:val="333333"/>
        </w:rPr>
      </w:pPr>
      <w:r w:rsidRPr="002278F9">
        <w:rPr>
          <w:rFonts w:eastAsia="Times New Roman" w:cs="Calibri"/>
          <w:color w:val="333333"/>
        </w:rPr>
        <w:t>Vice-President for Innovation and Performance</w:t>
      </w:r>
    </w:p>
    <w:p w:rsidR="00A26DD8" w:rsidRPr="002278F9" w:rsidRDefault="00A26DD8" w:rsidP="00A26DD8">
      <w:pPr>
        <w:pStyle w:val="ListParagraph"/>
        <w:numPr>
          <w:ilvl w:val="0"/>
          <w:numId w:val="2"/>
        </w:numPr>
        <w:spacing w:before="100" w:beforeAutospacing="1" w:after="165"/>
        <w:jc w:val="both"/>
        <w:rPr>
          <w:rFonts w:eastAsia="Times New Roman" w:cs="Calibri"/>
          <w:color w:val="333333"/>
        </w:rPr>
      </w:pPr>
      <w:r w:rsidRPr="002278F9">
        <w:rPr>
          <w:rFonts w:eastAsia="Times New Roman" w:cs="Calibri"/>
          <w:color w:val="333333"/>
        </w:rPr>
        <w:t>Registrar and Deputy-President</w:t>
      </w:r>
    </w:p>
    <w:p w:rsidR="00A26DD8" w:rsidRPr="002278F9" w:rsidRDefault="00A26DD8" w:rsidP="00A26DD8">
      <w:pPr>
        <w:pStyle w:val="ListParagraph"/>
        <w:numPr>
          <w:ilvl w:val="0"/>
          <w:numId w:val="2"/>
        </w:numPr>
        <w:spacing w:before="100" w:beforeAutospacing="1" w:after="165"/>
        <w:jc w:val="both"/>
        <w:rPr>
          <w:rFonts w:eastAsia="Times New Roman" w:cs="Calibri"/>
          <w:color w:val="333333"/>
        </w:rPr>
      </w:pPr>
      <w:r w:rsidRPr="002278F9">
        <w:rPr>
          <w:rFonts w:eastAsia="Times New Roman" w:cs="Calibri"/>
          <w:color w:val="333333"/>
        </w:rPr>
        <w:t>Vice-President for Research</w:t>
      </w:r>
    </w:p>
    <w:p w:rsidR="00A26DD8" w:rsidRPr="002278F9" w:rsidRDefault="00A26DD8" w:rsidP="00A26DD8">
      <w:pPr>
        <w:pStyle w:val="ListParagraph"/>
        <w:numPr>
          <w:ilvl w:val="0"/>
          <w:numId w:val="2"/>
        </w:numPr>
        <w:spacing w:before="100" w:beforeAutospacing="1" w:after="165"/>
        <w:jc w:val="both"/>
        <w:rPr>
          <w:rFonts w:eastAsia="Times New Roman" w:cs="Arial"/>
          <w:color w:val="333333"/>
        </w:rPr>
      </w:pPr>
      <w:r w:rsidRPr="002278F9">
        <w:rPr>
          <w:rFonts w:eastAsia="Times New Roman" w:cs="Arial"/>
          <w:color w:val="333333"/>
        </w:rPr>
        <w:lastRenderedPageBreak/>
        <w:t xml:space="preserve">Vice-Deans for Research </w:t>
      </w:r>
    </w:p>
    <w:p w:rsidR="00A26DD8" w:rsidRPr="002278F9" w:rsidRDefault="00A26DD8" w:rsidP="00A26DD8">
      <w:pPr>
        <w:pStyle w:val="ListParagraph"/>
        <w:numPr>
          <w:ilvl w:val="0"/>
          <w:numId w:val="2"/>
        </w:numPr>
        <w:spacing w:before="100" w:beforeAutospacing="1" w:after="165"/>
        <w:jc w:val="both"/>
        <w:rPr>
          <w:rFonts w:eastAsia="Times New Roman" w:cs="Arial"/>
          <w:color w:val="333333"/>
        </w:rPr>
      </w:pPr>
      <w:r w:rsidRPr="002278F9">
        <w:rPr>
          <w:rFonts w:eastAsia="Times New Roman" w:cs="Arial"/>
          <w:color w:val="333333"/>
        </w:rPr>
        <w:t>Dean of Graduate Studies</w:t>
      </w:r>
    </w:p>
    <w:p w:rsidR="00A26DD8" w:rsidRPr="002278F9" w:rsidRDefault="002278F9" w:rsidP="00A26DD8">
      <w:pPr>
        <w:pStyle w:val="ListParagraph"/>
        <w:numPr>
          <w:ilvl w:val="0"/>
          <w:numId w:val="2"/>
        </w:numPr>
        <w:spacing w:before="100" w:beforeAutospacing="1" w:after="165"/>
        <w:jc w:val="both"/>
        <w:rPr>
          <w:rFonts w:eastAsia="Times New Roman" w:cs="Arial"/>
          <w:color w:val="333333"/>
        </w:rPr>
      </w:pPr>
      <w:r w:rsidRPr="002278F9">
        <w:rPr>
          <w:rFonts w:eastAsia="Times New Roman" w:cs="Arial"/>
          <w:color w:val="333333"/>
        </w:rPr>
        <w:t>Director of Planning and Institutional Planning</w:t>
      </w:r>
    </w:p>
    <w:p w:rsidR="00A26DD8" w:rsidRPr="002278F9" w:rsidRDefault="00A26DD8" w:rsidP="00A26DD8">
      <w:pPr>
        <w:pStyle w:val="ListParagraph"/>
        <w:numPr>
          <w:ilvl w:val="0"/>
          <w:numId w:val="2"/>
        </w:numPr>
        <w:spacing w:before="100" w:beforeAutospacing="1" w:after="165"/>
        <w:jc w:val="both"/>
        <w:rPr>
          <w:rFonts w:eastAsia="Times New Roman" w:cs="Arial"/>
          <w:color w:val="333333"/>
        </w:rPr>
      </w:pPr>
      <w:r w:rsidRPr="002278F9">
        <w:rPr>
          <w:rFonts w:eastAsia="Times New Roman" w:cs="Arial"/>
          <w:color w:val="333333"/>
        </w:rPr>
        <w:t>An External Representative</w:t>
      </w:r>
    </w:p>
    <w:p w:rsidR="00A26DD8" w:rsidRPr="00077146" w:rsidRDefault="00A26DD8" w:rsidP="00A26DD8">
      <w:pPr>
        <w:shd w:val="clear" w:color="auto" w:fill="B8CCE4" w:themeFill="accent1" w:themeFillTint="66"/>
        <w:spacing w:after="0" w:line="240" w:lineRule="auto"/>
        <w:ind w:left="567" w:hanging="567"/>
        <w:jc w:val="both"/>
        <w:rPr>
          <w:rFonts w:cs="Arial"/>
          <w:b/>
          <w:color w:val="5F497A" w:themeColor="accent4" w:themeShade="BF"/>
        </w:rPr>
      </w:pPr>
      <w:r w:rsidRPr="00077146">
        <w:rPr>
          <w:rFonts w:cs="Arial"/>
          <w:b/>
          <w:color w:val="5F497A" w:themeColor="accent4" w:themeShade="BF"/>
        </w:rPr>
        <w:t>Evaluation Criteria</w:t>
      </w:r>
    </w:p>
    <w:p w:rsidR="00A26DD8" w:rsidRPr="00077146" w:rsidRDefault="00A26DD8" w:rsidP="00A26DD8">
      <w:pPr>
        <w:spacing w:before="100" w:beforeAutospacing="1" w:after="165"/>
        <w:jc w:val="both"/>
        <w:rPr>
          <w:rFonts w:eastAsia="Times New Roman" w:cs="Arial"/>
          <w:b/>
          <w:i/>
          <w:color w:val="333333"/>
        </w:rPr>
      </w:pPr>
      <w:r w:rsidRPr="00077146">
        <w:rPr>
          <w:rFonts w:eastAsia="Times New Roman" w:cs="Arial"/>
          <w:b/>
          <w:i/>
          <w:color w:val="333333"/>
        </w:rPr>
        <w:t>The Evaluation Panel will undertake an evidence-based assessment of excellence in the following areas:</w:t>
      </w:r>
    </w:p>
    <w:tbl>
      <w:tblPr>
        <w:tblStyle w:val="TableGrid"/>
        <w:tblW w:w="0" w:type="auto"/>
        <w:tblLook w:val="04A0" w:firstRow="1" w:lastRow="0" w:firstColumn="1" w:lastColumn="0" w:noHBand="0" w:noVBand="1"/>
      </w:tblPr>
      <w:tblGrid>
        <w:gridCol w:w="2943"/>
        <w:gridCol w:w="7088"/>
      </w:tblGrid>
      <w:tr w:rsidR="00A26DD8" w:rsidRPr="00077146" w:rsidTr="00A26DD8">
        <w:tc>
          <w:tcPr>
            <w:tcW w:w="2943" w:type="dxa"/>
            <w:shd w:val="clear" w:color="auto" w:fill="8DB3E2" w:themeFill="text2" w:themeFillTint="66"/>
          </w:tcPr>
          <w:p w:rsidR="00A26DD8" w:rsidRPr="00077146" w:rsidRDefault="00A26DD8" w:rsidP="00703FD2">
            <w:pPr>
              <w:spacing w:before="40" w:after="40"/>
              <w:jc w:val="both"/>
              <w:rPr>
                <w:b/>
                <w:color w:val="002060"/>
              </w:rPr>
            </w:pPr>
            <w:r w:rsidRPr="00077146">
              <w:rPr>
                <w:b/>
                <w:color w:val="002060"/>
              </w:rPr>
              <w:t>Criterion for Researcher Awards</w:t>
            </w:r>
            <w:r>
              <w:rPr>
                <w:b/>
                <w:color w:val="002060"/>
              </w:rPr>
              <w:t xml:space="preserve"> (Early or Established)</w:t>
            </w:r>
          </w:p>
        </w:tc>
        <w:tc>
          <w:tcPr>
            <w:tcW w:w="7088" w:type="dxa"/>
            <w:shd w:val="clear" w:color="auto" w:fill="8DB3E2" w:themeFill="text2" w:themeFillTint="66"/>
          </w:tcPr>
          <w:p w:rsidR="00A26DD8" w:rsidRPr="00077146" w:rsidRDefault="00A26DD8" w:rsidP="00703FD2">
            <w:pPr>
              <w:spacing w:before="40" w:after="40"/>
              <w:jc w:val="both"/>
              <w:rPr>
                <w:b/>
                <w:color w:val="002060"/>
              </w:rPr>
            </w:pPr>
            <w:r w:rsidRPr="00077146">
              <w:rPr>
                <w:b/>
                <w:color w:val="002060"/>
              </w:rPr>
              <w:t>Evidence Sought</w:t>
            </w:r>
          </w:p>
        </w:tc>
      </w:tr>
      <w:tr w:rsidR="00A26DD8" w:rsidRPr="00077146" w:rsidTr="00A26DD8">
        <w:tc>
          <w:tcPr>
            <w:tcW w:w="2943" w:type="dxa"/>
            <w:shd w:val="clear" w:color="auto" w:fill="DBE5F1" w:themeFill="accent1" w:themeFillTint="33"/>
          </w:tcPr>
          <w:p w:rsidR="00A26DD8" w:rsidRPr="00077146" w:rsidRDefault="00A26DD8" w:rsidP="00703FD2">
            <w:pPr>
              <w:spacing w:before="40" w:after="40"/>
              <w:jc w:val="both"/>
            </w:pPr>
            <w:r w:rsidRPr="00077146">
              <w:t xml:space="preserve">Research activity </w:t>
            </w:r>
          </w:p>
        </w:tc>
        <w:tc>
          <w:tcPr>
            <w:tcW w:w="7088" w:type="dxa"/>
          </w:tcPr>
          <w:p w:rsidR="00A26DD8" w:rsidRPr="00077146" w:rsidRDefault="00A26DD8" w:rsidP="00703FD2">
            <w:pPr>
              <w:jc w:val="both"/>
            </w:pPr>
            <w:r w:rsidRPr="00077146">
              <w:t>The panel will look for evidence of high-level and consistent research activity of the nominee (relative to career stage).</w:t>
            </w:r>
          </w:p>
        </w:tc>
      </w:tr>
      <w:tr w:rsidR="00A26DD8" w:rsidRPr="00077146" w:rsidTr="00A26DD8">
        <w:tc>
          <w:tcPr>
            <w:tcW w:w="2943" w:type="dxa"/>
            <w:shd w:val="clear" w:color="auto" w:fill="DBE5F1" w:themeFill="accent1" w:themeFillTint="33"/>
          </w:tcPr>
          <w:p w:rsidR="00A26DD8" w:rsidRPr="00077146" w:rsidRDefault="00A26DD8" w:rsidP="00703FD2">
            <w:pPr>
              <w:spacing w:before="40" w:after="40"/>
              <w:jc w:val="both"/>
            </w:pPr>
            <w:r w:rsidRPr="00077146">
              <w:t>Excellence of research</w:t>
            </w:r>
          </w:p>
        </w:tc>
        <w:tc>
          <w:tcPr>
            <w:tcW w:w="7088" w:type="dxa"/>
          </w:tcPr>
          <w:p w:rsidR="00A26DD8" w:rsidRPr="00077146" w:rsidRDefault="00A26DD8" w:rsidP="00703FD2">
            <w:pPr>
              <w:jc w:val="both"/>
            </w:pPr>
            <w:r w:rsidRPr="00077146">
              <w:t>The panel will look for evidence that the excellent research of the nominee has resulted in high impact peer-reviewed publications and national and international recognition.</w:t>
            </w:r>
          </w:p>
        </w:tc>
      </w:tr>
      <w:tr w:rsidR="00A26DD8" w:rsidRPr="00077146" w:rsidTr="00A26DD8">
        <w:tc>
          <w:tcPr>
            <w:tcW w:w="2943" w:type="dxa"/>
            <w:shd w:val="clear" w:color="auto" w:fill="DBE5F1" w:themeFill="accent1" w:themeFillTint="33"/>
          </w:tcPr>
          <w:p w:rsidR="00A26DD8" w:rsidRPr="00077146" w:rsidRDefault="00A26DD8" w:rsidP="00703FD2">
            <w:pPr>
              <w:spacing w:before="40" w:after="40"/>
              <w:jc w:val="both"/>
            </w:pPr>
            <w:r w:rsidRPr="00077146">
              <w:t>Impact on research field/society/economy</w:t>
            </w:r>
          </w:p>
        </w:tc>
        <w:tc>
          <w:tcPr>
            <w:tcW w:w="7088" w:type="dxa"/>
          </w:tcPr>
          <w:p w:rsidR="00A26DD8" w:rsidRPr="00077146" w:rsidRDefault="00A26DD8" w:rsidP="00703FD2">
            <w:pPr>
              <w:jc w:val="both"/>
            </w:pPr>
            <w:r w:rsidRPr="00077146">
              <w:t>The panel will look for evidence that the research achievements of the nominee has provided significant impact or has greatly influenced any field in the Arts,  Humanities and Social Sciences or the Science, Technology,  Engineering or Mathematics Field.</w:t>
            </w:r>
          </w:p>
        </w:tc>
      </w:tr>
    </w:tbl>
    <w:p w:rsidR="00A26DD8" w:rsidRPr="00077146" w:rsidRDefault="00A26DD8" w:rsidP="00A26DD8">
      <w:pPr>
        <w:spacing w:before="100" w:beforeAutospacing="1" w:after="165"/>
        <w:jc w:val="both"/>
        <w:rPr>
          <w:rFonts w:eastAsia="Times New Roman" w:cs="Arial"/>
          <w:b/>
          <w:i/>
          <w:color w:val="333333"/>
          <w:sz w:val="2"/>
          <w:szCs w:val="2"/>
        </w:rPr>
      </w:pPr>
    </w:p>
    <w:tbl>
      <w:tblPr>
        <w:tblStyle w:val="TableGrid"/>
        <w:tblW w:w="0" w:type="auto"/>
        <w:tblLook w:val="04A0" w:firstRow="1" w:lastRow="0" w:firstColumn="1" w:lastColumn="0" w:noHBand="0" w:noVBand="1"/>
      </w:tblPr>
      <w:tblGrid>
        <w:gridCol w:w="2943"/>
        <w:gridCol w:w="7088"/>
      </w:tblGrid>
      <w:tr w:rsidR="00A26DD8" w:rsidRPr="00077146" w:rsidTr="00A26DD8">
        <w:tc>
          <w:tcPr>
            <w:tcW w:w="2943" w:type="dxa"/>
            <w:shd w:val="clear" w:color="auto" w:fill="8DB3E2" w:themeFill="text2" w:themeFillTint="66"/>
          </w:tcPr>
          <w:p w:rsidR="00A26DD8" w:rsidRPr="00077146" w:rsidRDefault="00A26DD8" w:rsidP="00703FD2">
            <w:pPr>
              <w:spacing w:before="40" w:after="40"/>
              <w:jc w:val="both"/>
              <w:rPr>
                <w:b/>
                <w:color w:val="002060"/>
              </w:rPr>
            </w:pPr>
            <w:r w:rsidRPr="00077146">
              <w:rPr>
                <w:b/>
                <w:color w:val="002060"/>
              </w:rPr>
              <w:t>Criterion for Research Supervisor</w:t>
            </w:r>
          </w:p>
        </w:tc>
        <w:tc>
          <w:tcPr>
            <w:tcW w:w="7088" w:type="dxa"/>
            <w:shd w:val="clear" w:color="auto" w:fill="8DB3E2" w:themeFill="text2" w:themeFillTint="66"/>
          </w:tcPr>
          <w:p w:rsidR="00A26DD8" w:rsidRPr="00077146" w:rsidRDefault="00A26DD8" w:rsidP="00703FD2">
            <w:pPr>
              <w:spacing w:before="40" w:after="40"/>
              <w:jc w:val="both"/>
              <w:rPr>
                <w:b/>
                <w:color w:val="002060"/>
              </w:rPr>
            </w:pPr>
            <w:r w:rsidRPr="00077146">
              <w:rPr>
                <w:b/>
                <w:color w:val="002060"/>
              </w:rPr>
              <w:t>Evidence Sought</w:t>
            </w:r>
          </w:p>
        </w:tc>
      </w:tr>
      <w:tr w:rsidR="00A26DD8" w:rsidRPr="00077146" w:rsidTr="00A26DD8">
        <w:tc>
          <w:tcPr>
            <w:tcW w:w="2943" w:type="dxa"/>
            <w:shd w:val="clear" w:color="auto" w:fill="DBE5F1" w:themeFill="accent1" w:themeFillTint="33"/>
          </w:tcPr>
          <w:p w:rsidR="00A26DD8" w:rsidRPr="00077146" w:rsidRDefault="00A26DD8" w:rsidP="00703FD2">
            <w:pPr>
              <w:spacing w:before="40" w:after="40"/>
              <w:jc w:val="both"/>
            </w:pPr>
            <w:r w:rsidRPr="00077146">
              <w:t>Effective Support of Research Students</w:t>
            </w:r>
          </w:p>
        </w:tc>
        <w:tc>
          <w:tcPr>
            <w:tcW w:w="7088" w:type="dxa"/>
          </w:tcPr>
          <w:p w:rsidR="00A26DD8" w:rsidRPr="00077146" w:rsidRDefault="00A26DD8" w:rsidP="00703FD2">
            <w:pPr>
              <w:jc w:val="both"/>
            </w:pPr>
            <w:r w:rsidRPr="00077146">
              <w:t>The panel will look for evidence of effective support of research students towards the timely completion of research thesis</w:t>
            </w:r>
          </w:p>
        </w:tc>
      </w:tr>
      <w:tr w:rsidR="00A26DD8" w:rsidRPr="00077146" w:rsidTr="00A26DD8">
        <w:tc>
          <w:tcPr>
            <w:tcW w:w="2943" w:type="dxa"/>
            <w:shd w:val="clear" w:color="auto" w:fill="DBE5F1" w:themeFill="accent1" w:themeFillTint="33"/>
          </w:tcPr>
          <w:p w:rsidR="00A26DD8" w:rsidRPr="00077146" w:rsidRDefault="00A26DD8" w:rsidP="00703FD2">
            <w:pPr>
              <w:spacing w:before="40" w:after="40"/>
              <w:jc w:val="both"/>
            </w:pPr>
            <w:r w:rsidRPr="00077146">
              <w:t>Mentoring</w:t>
            </w:r>
          </w:p>
        </w:tc>
        <w:tc>
          <w:tcPr>
            <w:tcW w:w="7088" w:type="dxa"/>
          </w:tcPr>
          <w:p w:rsidR="00A26DD8" w:rsidRPr="00077146" w:rsidRDefault="00A26DD8" w:rsidP="00703FD2">
            <w:pPr>
              <w:jc w:val="both"/>
            </w:pPr>
            <w:r w:rsidRPr="00077146">
              <w:t>The panel will look for evidence that the nominee provides effective mentorship to PhD students including advising PhD students on their career goals</w:t>
            </w:r>
          </w:p>
        </w:tc>
      </w:tr>
      <w:tr w:rsidR="00A26DD8" w:rsidRPr="00077146" w:rsidTr="00A26DD8">
        <w:tc>
          <w:tcPr>
            <w:tcW w:w="2943" w:type="dxa"/>
            <w:shd w:val="clear" w:color="auto" w:fill="DBE5F1" w:themeFill="accent1" w:themeFillTint="33"/>
          </w:tcPr>
          <w:p w:rsidR="00A26DD8" w:rsidRPr="00077146" w:rsidRDefault="00A26DD8" w:rsidP="00703FD2">
            <w:pPr>
              <w:spacing w:before="40" w:after="40"/>
              <w:jc w:val="both"/>
            </w:pPr>
            <w:r w:rsidRPr="00077146">
              <w:t>Support of PhD training</w:t>
            </w:r>
          </w:p>
        </w:tc>
        <w:tc>
          <w:tcPr>
            <w:tcW w:w="7088" w:type="dxa"/>
          </w:tcPr>
          <w:p w:rsidR="00A26DD8" w:rsidRPr="00077146" w:rsidRDefault="00A26DD8" w:rsidP="00703FD2">
            <w:pPr>
              <w:jc w:val="both"/>
            </w:pPr>
            <w:r w:rsidRPr="00077146">
              <w:t xml:space="preserve">The panel will look for evidence that the nominee encourages and supports the continued development of PhD students through skills-training, conference presentation, teaching experience, </w:t>
            </w:r>
            <w:proofErr w:type="spellStart"/>
            <w:r w:rsidRPr="00077146">
              <w:t>etc</w:t>
            </w:r>
            <w:proofErr w:type="spellEnd"/>
          </w:p>
        </w:tc>
      </w:tr>
      <w:tr w:rsidR="00A26DD8" w:rsidRPr="00077146" w:rsidTr="00A26DD8">
        <w:tc>
          <w:tcPr>
            <w:tcW w:w="2943" w:type="dxa"/>
            <w:shd w:val="clear" w:color="auto" w:fill="DBE5F1" w:themeFill="accent1" w:themeFillTint="33"/>
          </w:tcPr>
          <w:p w:rsidR="00A26DD8" w:rsidRPr="00077146" w:rsidRDefault="00A26DD8" w:rsidP="00703FD2">
            <w:pPr>
              <w:spacing w:before="40" w:after="40"/>
              <w:jc w:val="both"/>
            </w:pPr>
            <w:r w:rsidRPr="00077146">
              <w:t>Integration of postgraduate students into the research community</w:t>
            </w:r>
          </w:p>
        </w:tc>
        <w:tc>
          <w:tcPr>
            <w:tcW w:w="7088" w:type="dxa"/>
          </w:tcPr>
          <w:p w:rsidR="00A26DD8" w:rsidRPr="00077146" w:rsidRDefault="00A26DD8" w:rsidP="00703FD2">
            <w:pPr>
              <w:jc w:val="both"/>
            </w:pPr>
            <w:r w:rsidRPr="00077146">
              <w:t>The panel will look for evidence that the nominee seeks to promote the integration of PhD students into the research community</w:t>
            </w:r>
          </w:p>
        </w:tc>
      </w:tr>
    </w:tbl>
    <w:p w:rsidR="00A26DD8" w:rsidRPr="00077146" w:rsidRDefault="00A26DD8" w:rsidP="00A26DD8">
      <w:pPr>
        <w:shd w:val="clear" w:color="auto" w:fill="B8CCE4" w:themeFill="accent1" w:themeFillTint="66"/>
        <w:spacing w:after="0" w:line="240" w:lineRule="auto"/>
        <w:jc w:val="both"/>
        <w:rPr>
          <w:rFonts w:cs="Arial"/>
          <w:b/>
          <w:color w:val="5F497A" w:themeColor="accent4" w:themeShade="BF"/>
        </w:rPr>
      </w:pPr>
      <w:r w:rsidRPr="00077146">
        <w:rPr>
          <w:rFonts w:cs="Arial"/>
          <w:b/>
          <w:color w:val="5F497A" w:themeColor="accent4" w:themeShade="BF"/>
        </w:rPr>
        <w:t>Nomination Process for Researcher Awards (Early Career Stage and Established)</w:t>
      </w:r>
    </w:p>
    <w:p w:rsidR="00A26DD8" w:rsidRPr="00077146" w:rsidRDefault="00A26DD8" w:rsidP="00A26DD8">
      <w:pPr>
        <w:numPr>
          <w:ilvl w:val="0"/>
          <w:numId w:val="3"/>
        </w:numPr>
        <w:spacing w:after="0" w:line="240" w:lineRule="auto"/>
        <w:jc w:val="both"/>
        <w:rPr>
          <w:rFonts w:cs="Calibri"/>
        </w:rPr>
      </w:pPr>
      <w:r w:rsidRPr="00077146">
        <w:rPr>
          <w:rFonts w:cs="Calibri"/>
        </w:rPr>
        <w:t xml:space="preserve">All NUI Galway employees, including contract research staff, are eligible for nomination.  </w:t>
      </w:r>
    </w:p>
    <w:p w:rsidR="00A26DD8" w:rsidRPr="00077146" w:rsidRDefault="00A26DD8" w:rsidP="00A26DD8">
      <w:pPr>
        <w:numPr>
          <w:ilvl w:val="0"/>
          <w:numId w:val="3"/>
        </w:numPr>
        <w:spacing w:after="0" w:line="240" w:lineRule="auto"/>
        <w:jc w:val="both"/>
        <w:rPr>
          <w:rFonts w:cs="Calibri"/>
        </w:rPr>
      </w:pPr>
      <w:r w:rsidRPr="00077146">
        <w:rPr>
          <w:rFonts w:cs="Calibri"/>
        </w:rPr>
        <w:t>An individual can only win once in a given category within a five year period</w:t>
      </w:r>
      <w:r>
        <w:rPr>
          <w:rFonts w:cs="Calibri"/>
        </w:rPr>
        <w:t>.</w:t>
      </w:r>
    </w:p>
    <w:p w:rsidR="00A26DD8" w:rsidRPr="00077146" w:rsidRDefault="00A26DD8" w:rsidP="00A26DD8">
      <w:pPr>
        <w:numPr>
          <w:ilvl w:val="0"/>
          <w:numId w:val="3"/>
        </w:numPr>
        <w:spacing w:after="0" w:line="240" w:lineRule="auto"/>
        <w:jc w:val="both"/>
        <w:rPr>
          <w:rFonts w:cs="Calibri"/>
        </w:rPr>
      </w:pPr>
      <w:r w:rsidRPr="00077146">
        <w:rPr>
          <w:rFonts w:cs="Calibri"/>
        </w:rPr>
        <w:t>Only one award will be presented to an individual in a given year</w:t>
      </w:r>
      <w:r>
        <w:rPr>
          <w:rFonts w:cs="Calibri"/>
        </w:rPr>
        <w:t>.</w:t>
      </w:r>
    </w:p>
    <w:p w:rsidR="00A26DD8" w:rsidRPr="00077146" w:rsidRDefault="00F27718" w:rsidP="00A26DD8">
      <w:pPr>
        <w:numPr>
          <w:ilvl w:val="0"/>
          <w:numId w:val="3"/>
        </w:numPr>
        <w:spacing w:after="0" w:line="240" w:lineRule="auto"/>
        <w:jc w:val="both"/>
        <w:rPr>
          <w:rFonts w:cs="Calibri"/>
        </w:rPr>
      </w:pPr>
      <w:r>
        <w:rPr>
          <w:rFonts w:cs="Calibri"/>
        </w:rPr>
        <w:t>Each nomination must be proposed by two NUI Galway staff members</w:t>
      </w:r>
      <w:r w:rsidR="00A26DD8">
        <w:rPr>
          <w:rFonts w:cs="Calibri"/>
        </w:rPr>
        <w:t>.</w:t>
      </w:r>
    </w:p>
    <w:p w:rsidR="00A26DD8" w:rsidRPr="00077146" w:rsidRDefault="00A26DD8" w:rsidP="00A26DD8">
      <w:pPr>
        <w:numPr>
          <w:ilvl w:val="0"/>
          <w:numId w:val="4"/>
        </w:numPr>
        <w:spacing w:after="0" w:line="240" w:lineRule="auto"/>
        <w:jc w:val="both"/>
        <w:rPr>
          <w:rFonts w:cs="Calibri"/>
          <w:i/>
        </w:rPr>
      </w:pPr>
      <w:r w:rsidRPr="00077146">
        <w:rPr>
          <w:rFonts w:cs="Calibri"/>
        </w:rPr>
        <w:t>An individual can only make one nomination</w:t>
      </w:r>
      <w:r>
        <w:rPr>
          <w:rFonts w:cs="Calibri"/>
        </w:rPr>
        <w:t>.</w:t>
      </w:r>
    </w:p>
    <w:p w:rsidR="00A26DD8" w:rsidRPr="00077146" w:rsidRDefault="00A26DD8" w:rsidP="00A26DD8">
      <w:pPr>
        <w:numPr>
          <w:ilvl w:val="0"/>
          <w:numId w:val="4"/>
        </w:numPr>
        <w:spacing w:after="0" w:line="240" w:lineRule="auto"/>
        <w:jc w:val="both"/>
        <w:rPr>
          <w:rFonts w:cs="Calibri"/>
          <w:i/>
        </w:rPr>
      </w:pPr>
      <w:r w:rsidRPr="00077146">
        <w:rPr>
          <w:rFonts w:cs="Calibri"/>
        </w:rPr>
        <w:t>Self-nomination is permitted in the Researcher award category</w:t>
      </w:r>
      <w:r>
        <w:rPr>
          <w:rFonts w:cs="Calibri"/>
        </w:rPr>
        <w:t>.</w:t>
      </w:r>
    </w:p>
    <w:p w:rsidR="00A26DD8" w:rsidRPr="00077146" w:rsidRDefault="00A26DD8" w:rsidP="00A26DD8">
      <w:pPr>
        <w:numPr>
          <w:ilvl w:val="0"/>
          <w:numId w:val="4"/>
        </w:numPr>
        <w:spacing w:after="0" w:line="240" w:lineRule="auto"/>
        <w:jc w:val="both"/>
        <w:rPr>
          <w:rFonts w:cs="Calibri"/>
          <w:i/>
        </w:rPr>
      </w:pPr>
      <w:r w:rsidRPr="00077146">
        <w:rPr>
          <w:rFonts w:cs="Calibri"/>
        </w:rPr>
        <w:t>Nominations may only be made using the official form.</w:t>
      </w:r>
    </w:p>
    <w:p w:rsidR="00A26DD8" w:rsidRPr="002278F9" w:rsidRDefault="00A26DD8" w:rsidP="00A26DD8">
      <w:pPr>
        <w:numPr>
          <w:ilvl w:val="0"/>
          <w:numId w:val="4"/>
        </w:numPr>
        <w:spacing w:after="0" w:line="240" w:lineRule="auto"/>
        <w:jc w:val="both"/>
        <w:rPr>
          <w:rFonts w:cs="Calibri"/>
          <w:i/>
        </w:rPr>
      </w:pPr>
      <w:r w:rsidRPr="00077146">
        <w:rPr>
          <w:rFonts w:cs="Calibri"/>
        </w:rPr>
        <w:t>Failure to complete or comply with the requirements of the nomination procedure will result in withdrawal without review.</w:t>
      </w:r>
    </w:p>
    <w:p w:rsidR="002278F9" w:rsidRDefault="002278F9" w:rsidP="00A26DD8">
      <w:pPr>
        <w:numPr>
          <w:ilvl w:val="0"/>
          <w:numId w:val="4"/>
        </w:numPr>
        <w:spacing w:after="0" w:line="240" w:lineRule="auto"/>
        <w:jc w:val="both"/>
        <w:rPr>
          <w:rFonts w:cs="Calibri"/>
          <w:i/>
        </w:rPr>
      </w:pPr>
      <w:r>
        <w:rPr>
          <w:rFonts w:cs="Calibri"/>
        </w:rPr>
        <w:t>All nominees must have an up-to-date IRIS profile.</w:t>
      </w:r>
    </w:p>
    <w:p w:rsidR="00A26DD8" w:rsidRPr="00077146" w:rsidRDefault="00A26DD8" w:rsidP="002278F9">
      <w:pPr>
        <w:spacing w:after="0" w:line="240" w:lineRule="auto"/>
        <w:jc w:val="both"/>
        <w:rPr>
          <w:rFonts w:cs="Calibri"/>
          <w:i/>
        </w:rPr>
      </w:pPr>
    </w:p>
    <w:p w:rsidR="00A26DD8" w:rsidRPr="00077146" w:rsidRDefault="00A26DD8" w:rsidP="00A26DD8">
      <w:pPr>
        <w:shd w:val="clear" w:color="auto" w:fill="B8CCE4" w:themeFill="accent1" w:themeFillTint="66"/>
        <w:spacing w:after="0" w:line="240" w:lineRule="auto"/>
        <w:ind w:left="567" w:hanging="567"/>
        <w:jc w:val="both"/>
        <w:rPr>
          <w:rFonts w:cs="Arial"/>
          <w:b/>
          <w:color w:val="5F497A" w:themeColor="accent4" w:themeShade="BF"/>
        </w:rPr>
      </w:pPr>
      <w:r w:rsidRPr="00077146">
        <w:rPr>
          <w:rFonts w:cs="Arial"/>
          <w:b/>
          <w:color w:val="5F497A" w:themeColor="accent4" w:themeShade="BF"/>
        </w:rPr>
        <w:t>Nomination Process for Research Supervisor Awards</w:t>
      </w:r>
    </w:p>
    <w:p w:rsidR="00A26DD8" w:rsidRPr="00077146" w:rsidRDefault="00A26DD8" w:rsidP="00A26DD8">
      <w:pPr>
        <w:numPr>
          <w:ilvl w:val="0"/>
          <w:numId w:val="4"/>
        </w:numPr>
        <w:spacing w:after="0" w:line="240" w:lineRule="auto"/>
        <w:jc w:val="both"/>
        <w:rPr>
          <w:rFonts w:cs="Calibri"/>
          <w:i/>
        </w:rPr>
      </w:pPr>
      <w:r w:rsidRPr="00077146">
        <w:rPr>
          <w:rFonts w:cs="Calibri"/>
        </w:rPr>
        <w:t xml:space="preserve">The nominators for each application must be </w:t>
      </w:r>
      <w:r w:rsidRPr="00077146">
        <w:rPr>
          <w:rFonts w:cs="Calibri"/>
          <w:u w:val="single"/>
        </w:rPr>
        <w:t>two</w:t>
      </w:r>
      <w:r w:rsidRPr="00077146">
        <w:rPr>
          <w:rFonts w:cs="Calibri"/>
        </w:rPr>
        <w:t xml:space="preserve"> students at least one of whom must be currently a registered PhD student (the second student may be a former or current student of the nominee)</w:t>
      </w:r>
    </w:p>
    <w:p w:rsidR="00064C48" w:rsidRPr="00064C48" w:rsidRDefault="00064C48" w:rsidP="00064C48">
      <w:pPr>
        <w:numPr>
          <w:ilvl w:val="0"/>
          <w:numId w:val="4"/>
        </w:numPr>
        <w:spacing w:after="0" w:line="240" w:lineRule="auto"/>
        <w:jc w:val="both"/>
        <w:rPr>
          <w:rFonts w:cs="Calibri"/>
          <w:i/>
        </w:rPr>
      </w:pPr>
      <w:r>
        <w:rPr>
          <w:rFonts w:cs="Calibri"/>
        </w:rPr>
        <w:t xml:space="preserve">Students nominating their PhD supervisor must </w:t>
      </w:r>
      <w:r w:rsidRPr="00064C48">
        <w:rPr>
          <w:rFonts w:cs="Calibri"/>
        </w:rPr>
        <w:t xml:space="preserve">complete Part A of the application form and submit it to the Research Office by the specified deadline.  </w:t>
      </w:r>
      <w:r w:rsidRPr="00064C48">
        <w:t>Following receipt of Part A, the Research Office will contact the Supervisor requesting him/her to Complete Part B of the application.</w:t>
      </w:r>
      <w:r w:rsidRPr="00064C48">
        <w:t xml:space="preserve">  </w:t>
      </w:r>
      <w:r>
        <w:t xml:space="preserve">Part B should </w:t>
      </w:r>
      <w:r w:rsidRPr="00064C48">
        <w:t xml:space="preserve">be completed </w:t>
      </w:r>
      <w:r>
        <w:t xml:space="preserve">only </w:t>
      </w:r>
      <w:bookmarkStart w:id="0" w:name="_GoBack"/>
      <w:bookmarkEnd w:id="0"/>
      <w:r w:rsidRPr="00064C48">
        <w:t>by invitation from the Research Office.</w:t>
      </w:r>
    </w:p>
    <w:p w:rsidR="00064C48" w:rsidRPr="00064C48" w:rsidRDefault="00064C48" w:rsidP="00064C48">
      <w:pPr>
        <w:numPr>
          <w:ilvl w:val="0"/>
          <w:numId w:val="4"/>
        </w:numPr>
        <w:spacing w:after="0" w:line="240" w:lineRule="auto"/>
        <w:jc w:val="both"/>
        <w:rPr>
          <w:rFonts w:cs="Calibri"/>
          <w:i/>
        </w:rPr>
      </w:pPr>
      <w:r w:rsidRPr="00695A6E">
        <w:lastRenderedPageBreak/>
        <w:t>Failure to complete or comply with the requirements will result in withdrawal of the application without review.</w:t>
      </w:r>
    </w:p>
    <w:p w:rsidR="00A26DD8" w:rsidRPr="00077146" w:rsidRDefault="00A26DD8" w:rsidP="00A26DD8">
      <w:pPr>
        <w:numPr>
          <w:ilvl w:val="0"/>
          <w:numId w:val="4"/>
        </w:numPr>
        <w:spacing w:after="0" w:line="240" w:lineRule="auto"/>
        <w:jc w:val="both"/>
        <w:rPr>
          <w:rFonts w:cs="Calibri"/>
          <w:i/>
        </w:rPr>
      </w:pPr>
      <w:r w:rsidRPr="00077146">
        <w:rPr>
          <w:rFonts w:cs="Calibri"/>
        </w:rPr>
        <w:t>All nominees must be NUI Galway staff members.</w:t>
      </w:r>
    </w:p>
    <w:p w:rsidR="00A26DD8" w:rsidRPr="00077146" w:rsidRDefault="00A26DD8" w:rsidP="00A26DD8">
      <w:pPr>
        <w:numPr>
          <w:ilvl w:val="0"/>
          <w:numId w:val="4"/>
        </w:numPr>
        <w:spacing w:after="0" w:line="240" w:lineRule="auto"/>
        <w:jc w:val="both"/>
        <w:rPr>
          <w:rFonts w:cs="Calibri"/>
          <w:i/>
        </w:rPr>
      </w:pPr>
      <w:r w:rsidRPr="00077146">
        <w:rPr>
          <w:rFonts w:cs="Calibri"/>
        </w:rPr>
        <w:t xml:space="preserve">An individual can only make one nomination. </w:t>
      </w:r>
    </w:p>
    <w:p w:rsidR="00A26DD8" w:rsidRPr="002278F9" w:rsidRDefault="00A26DD8" w:rsidP="00A26DD8">
      <w:pPr>
        <w:numPr>
          <w:ilvl w:val="0"/>
          <w:numId w:val="4"/>
        </w:numPr>
        <w:spacing w:after="0" w:line="240" w:lineRule="auto"/>
        <w:jc w:val="both"/>
        <w:rPr>
          <w:rFonts w:cs="Calibri"/>
          <w:i/>
        </w:rPr>
      </w:pPr>
      <w:r w:rsidRPr="00077146">
        <w:rPr>
          <w:rFonts w:cs="Calibri"/>
        </w:rPr>
        <w:t xml:space="preserve">Nominations may only be made using the official form.  </w:t>
      </w:r>
    </w:p>
    <w:p w:rsidR="002278F9" w:rsidRPr="00077146" w:rsidRDefault="002278F9" w:rsidP="00A26DD8">
      <w:pPr>
        <w:numPr>
          <w:ilvl w:val="0"/>
          <w:numId w:val="4"/>
        </w:numPr>
        <w:spacing w:after="0" w:line="240" w:lineRule="auto"/>
        <w:jc w:val="both"/>
        <w:rPr>
          <w:rFonts w:cs="Calibri"/>
          <w:i/>
        </w:rPr>
      </w:pPr>
      <w:r>
        <w:rPr>
          <w:rFonts w:cs="Calibri"/>
        </w:rPr>
        <w:t>All nominees must have an up-to-date IRIS profile</w:t>
      </w:r>
    </w:p>
    <w:p w:rsidR="00A26DD8" w:rsidRPr="00A26DD8" w:rsidRDefault="00A26DD8" w:rsidP="00424649">
      <w:pPr>
        <w:numPr>
          <w:ilvl w:val="0"/>
          <w:numId w:val="4"/>
        </w:numPr>
        <w:spacing w:after="0" w:line="240" w:lineRule="auto"/>
        <w:jc w:val="both"/>
        <w:rPr>
          <w:rFonts w:cs="Calibri"/>
          <w:i/>
        </w:rPr>
      </w:pPr>
      <w:r w:rsidRPr="00077146">
        <w:rPr>
          <w:rFonts w:cs="Calibri"/>
        </w:rPr>
        <w:t xml:space="preserve">Self-nomination is not permitted for the </w:t>
      </w:r>
      <w:r w:rsidR="002278F9">
        <w:rPr>
          <w:rFonts w:cs="Calibri"/>
          <w:i/>
        </w:rPr>
        <w:t>Research Supervisor Award.</w:t>
      </w:r>
    </w:p>
    <w:sectPr w:rsidR="00A26DD8" w:rsidRPr="00A26DD8" w:rsidSect="00424649">
      <w:pgSz w:w="11906" w:h="16838"/>
      <w:pgMar w:top="851" w:right="964" w:bottom="873"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D8" w:rsidRDefault="00A26DD8" w:rsidP="00A26DD8">
      <w:pPr>
        <w:spacing w:after="0" w:line="240" w:lineRule="auto"/>
      </w:pPr>
      <w:r>
        <w:separator/>
      </w:r>
    </w:p>
  </w:endnote>
  <w:endnote w:type="continuationSeparator" w:id="0">
    <w:p w:rsidR="00A26DD8" w:rsidRDefault="00A26DD8" w:rsidP="00A2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no Pro Smbd">
    <w:altName w:val="Arno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D8" w:rsidRDefault="00A26DD8" w:rsidP="00A26DD8">
      <w:pPr>
        <w:spacing w:after="0" w:line="240" w:lineRule="auto"/>
      </w:pPr>
      <w:r>
        <w:separator/>
      </w:r>
    </w:p>
  </w:footnote>
  <w:footnote w:type="continuationSeparator" w:id="0">
    <w:p w:rsidR="00A26DD8" w:rsidRDefault="00A26DD8" w:rsidP="00A26DD8">
      <w:pPr>
        <w:spacing w:after="0" w:line="240" w:lineRule="auto"/>
      </w:pPr>
      <w:r>
        <w:continuationSeparator/>
      </w:r>
    </w:p>
  </w:footnote>
  <w:footnote w:id="1">
    <w:p w:rsidR="00A26DD8" w:rsidRPr="00942B3F" w:rsidRDefault="00A26DD8" w:rsidP="00A26DD8">
      <w:pPr>
        <w:pStyle w:val="Default"/>
        <w:rPr>
          <w:rFonts w:asciiTheme="minorHAnsi" w:hAnsiTheme="minorHAnsi"/>
          <w:i/>
          <w:color w:val="000000" w:themeColor="text1"/>
          <w:sz w:val="20"/>
          <w:szCs w:val="20"/>
        </w:rPr>
      </w:pPr>
      <w:r>
        <w:rPr>
          <w:rStyle w:val="FootnoteReference"/>
        </w:rPr>
        <w:footnoteRef/>
      </w:r>
      <w:r>
        <w:t xml:space="preserve"> </w:t>
      </w:r>
      <w:r w:rsidRPr="00942B3F">
        <w:rPr>
          <w:rFonts w:asciiTheme="minorHAnsi" w:hAnsiTheme="minorHAnsi"/>
          <w:i/>
          <w:color w:val="000000" w:themeColor="text1"/>
          <w:sz w:val="20"/>
          <w:szCs w:val="20"/>
        </w:rPr>
        <w:t xml:space="preserve">Allowance will be given for documented leave in line with ERC guidelines.  </w:t>
      </w:r>
      <w:r w:rsidRPr="00942B3F">
        <w:rPr>
          <w:rFonts w:asciiTheme="minorHAnsi" w:hAnsiTheme="minorHAnsi"/>
          <w:i/>
          <w:iCs/>
          <w:color w:val="000000" w:themeColor="text1"/>
          <w:sz w:val="20"/>
          <w:szCs w:val="20"/>
        </w:rPr>
        <w:t xml:space="preserve">For maternity, the effective elapsed time since the start date will be considered reduced by 18 months for each child born </w:t>
      </w:r>
      <w:r w:rsidRPr="00942B3F">
        <w:rPr>
          <w:rFonts w:asciiTheme="minorHAnsi" w:hAnsiTheme="minorHAnsi"/>
          <w:b/>
          <w:bCs/>
          <w:i/>
          <w:iCs/>
          <w:color w:val="000000" w:themeColor="text1"/>
          <w:sz w:val="20"/>
          <w:szCs w:val="20"/>
        </w:rPr>
        <w:t xml:space="preserve">before or after </w:t>
      </w:r>
      <w:r w:rsidRPr="00942B3F">
        <w:rPr>
          <w:rFonts w:asciiTheme="minorHAnsi" w:hAnsiTheme="minorHAnsi"/>
          <w:i/>
          <w:iCs/>
          <w:color w:val="000000" w:themeColor="text1"/>
          <w:sz w:val="20"/>
          <w:szCs w:val="20"/>
        </w:rPr>
        <w:t xml:space="preserve">the start date. For paternity, the effective elapsed time since the start date will be considered reduced by the documented amount of paternity leave actually taken for each child born </w:t>
      </w:r>
      <w:r w:rsidRPr="00942B3F">
        <w:rPr>
          <w:rFonts w:asciiTheme="minorHAnsi" w:hAnsiTheme="minorHAnsi"/>
          <w:b/>
          <w:bCs/>
          <w:i/>
          <w:iCs/>
          <w:color w:val="000000" w:themeColor="text1"/>
          <w:sz w:val="20"/>
          <w:szCs w:val="20"/>
        </w:rPr>
        <w:t xml:space="preserve">before or after </w:t>
      </w:r>
      <w:r w:rsidRPr="00942B3F">
        <w:rPr>
          <w:rFonts w:asciiTheme="minorHAnsi" w:hAnsiTheme="minorHAnsi"/>
          <w:i/>
          <w:iCs/>
          <w:color w:val="000000" w:themeColor="text1"/>
          <w:sz w:val="20"/>
          <w:szCs w:val="20"/>
        </w:rPr>
        <w:t xml:space="preserve">the start date. </w:t>
      </w:r>
    </w:p>
    <w:p w:rsidR="00A26DD8" w:rsidRPr="00942B3F" w:rsidRDefault="00A26DD8" w:rsidP="00A26DD8">
      <w:pPr>
        <w:rPr>
          <w:i/>
          <w:color w:val="000000" w:themeColor="text1"/>
          <w:sz w:val="20"/>
          <w:szCs w:val="20"/>
        </w:rPr>
      </w:pPr>
      <w:r w:rsidRPr="00942B3F">
        <w:rPr>
          <w:i/>
          <w:iCs/>
          <w:color w:val="000000" w:themeColor="text1"/>
          <w:sz w:val="20"/>
          <w:szCs w:val="20"/>
        </w:rPr>
        <w:t>For long-term illness, clinical training or national service the effective elapsed ti</w:t>
      </w:r>
      <w:r>
        <w:rPr>
          <w:i/>
          <w:iCs/>
          <w:color w:val="000000" w:themeColor="text1"/>
          <w:sz w:val="20"/>
          <w:szCs w:val="20"/>
        </w:rPr>
        <w:t xml:space="preserve">me since the start date will be </w:t>
      </w:r>
      <w:r w:rsidRPr="00942B3F">
        <w:rPr>
          <w:i/>
          <w:iCs/>
          <w:color w:val="000000" w:themeColor="text1"/>
          <w:sz w:val="20"/>
          <w:szCs w:val="20"/>
        </w:rPr>
        <w:t>considered reduced by the documented amount of leave actually taken.</w:t>
      </w:r>
    </w:p>
    <w:p w:rsidR="00A26DD8" w:rsidRDefault="00A26DD8" w:rsidP="00A26DD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5F0494E"/>
    <w:multiLevelType w:val="hybridMultilevel"/>
    <w:tmpl w:val="CD826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0D0FEC"/>
    <w:multiLevelType w:val="hybridMultilevel"/>
    <w:tmpl w:val="03926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D239E5"/>
    <w:multiLevelType w:val="multilevel"/>
    <w:tmpl w:val="70A25808"/>
    <w:lvl w:ilvl="0">
      <w:start w:val="1"/>
      <w:numFmt w:val="bullet"/>
      <w:lvlText w:val=""/>
      <w:lvlJc w:val="left"/>
      <w:pPr>
        <w:tabs>
          <w:tab w:val="num" w:pos="2628"/>
        </w:tabs>
        <w:ind w:left="2628" w:hanging="360"/>
      </w:pPr>
      <w:rPr>
        <w:rFonts w:ascii="Symbol" w:hAnsi="Symbol" w:hint="default"/>
        <w:sz w:val="20"/>
      </w:rPr>
    </w:lvl>
    <w:lvl w:ilvl="1">
      <w:start w:val="1"/>
      <w:numFmt w:val="bullet"/>
      <w:lvlText w:val="o"/>
      <w:lvlPicBulletId w:val="0"/>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2F12B94"/>
    <w:multiLevelType w:val="hybridMultilevel"/>
    <w:tmpl w:val="1D5A6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D35D6A"/>
    <w:multiLevelType w:val="hybridMultilevel"/>
    <w:tmpl w:val="EAB6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D2557"/>
    <w:multiLevelType w:val="hybridMultilevel"/>
    <w:tmpl w:val="7D406CF6"/>
    <w:lvl w:ilvl="0" w:tplc="80C6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A709D"/>
    <w:multiLevelType w:val="hybridMultilevel"/>
    <w:tmpl w:val="F50431EE"/>
    <w:lvl w:ilvl="0" w:tplc="04090003">
      <w:start w:val="1"/>
      <w:numFmt w:val="bullet"/>
      <w:lvlText w:val="o"/>
      <w:lvlJc w:val="left"/>
      <w:pPr>
        <w:ind w:left="2160" w:hanging="360"/>
      </w:pPr>
      <w:rPr>
        <w:rFonts w:ascii="Courier New" w:hAnsi="Courier New" w:cs="Courier New"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17"/>
    <w:rsid w:val="00064C48"/>
    <w:rsid w:val="002278F9"/>
    <w:rsid w:val="00424649"/>
    <w:rsid w:val="006C4D17"/>
    <w:rsid w:val="006E5C53"/>
    <w:rsid w:val="00711AD3"/>
    <w:rsid w:val="00892B49"/>
    <w:rsid w:val="009B344E"/>
    <w:rsid w:val="009E0786"/>
    <w:rsid w:val="00A26DD8"/>
    <w:rsid w:val="00D75D47"/>
    <w:rsid w:val="00DD0A85"/>
    <w:rsid w:val="00DD0C7F"/>
    <w:rsid w:val="00F04EBC"/>
    <w:rsid w:val="00F277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8F90F78-5D45-4D32-9DE6-1F08ABEE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49"/>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49"/>
    <w:pPr>
      <w:ind w:left="720"/>
      <w:contextualSpacing/>
    </w:pPr>
  </w:style>
  <w:style w:type="paragraph" w:styleId="BalloonText">
    <w:name w:val="Balloon Text"/>
    <w:basedOn w:val="Normal"/>
    <w:link w:val="BalloonTextChar"/>
    <w:uiPriority w:val="99"/>
    <w:semiHidden/>
    <w:unhideWhenUsed/>
    <w:rsid w:val="0042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649"/>
    <w:rPr>
      <w:rFonts w:ascii="Tahoma" w:eastAsiaTheme="minorEastAsia" w:hAnsi="Tahoma" w:cs="Tahoma"/>
      <w:sz w:val="16"/>
      <w:szCs w:val="16"/>
      <w:lang w:eastAsia="en-IE"/>
    </w:rPr>
  </w:style>
  <w:style w:type="table" w:styleId="TableGrid">
    <w:name w:val="Table Grid"/>
    <w:basedOn w:val="TableNormal"/>
    <w:uiPriority w:val="59"/>
    <w:rsid w:val="00424649"/>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26DD8"/>
    <w:pPr>
      <w:widowControl w:val="0"/>
      <w:autoSpaceDE w:val="0"/>
      <w:autoSpaceDN w:val="0"/>
      <w:adjustRightInd w:val="0"/>
      <w:spacing w:after="0" w:line="240" w:lineRule="auto"/>
    </w:pPr>
    <w:rPr>
      <w:rFonts w:ascii="Arno Pro Smbd" w:eastAsia="Times New Roman" w:hAnsi="Arno Pro Smbd" w:cs="Arno Pro Smbd"/>
      <w:color w:val="000000"/>
      <w:sz w:val="24"/>
      <w:szCs w:val="24"/>
      <w:lang w:val="en-GB" w:eastAsia="en-GB"/>
    </w:rPr>
  </w:style>
  <w:style w:type="paragraph" w:styleId="FootnoteText">
    <w:name w:val="footnote text"/>
    <w:basedOn w:val="Normal"/>
    <w:link w:val="FootnoteTextChar"/>
    <w:uiPriority w:val="99"/>
    <w:semiHidden/>
    <w:unhideWhenUsed/>
    <w:rsid w:val="00A26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DD8"/>
    <w:rPr>
      <w:rFonts w:eastAsiaTheme="minorEastAsia"/>
      <w:sz w:val="20"/>
      <w:szCs w:val="20"/>
      <w:lang w:eastAsia="en-IE"/>
    </w:rPr>
  </w:style>
  <w:style w:type="character" w:styleId="FootnoteReference">
    <w:name w:val="footnote reference"/>
    <w:basedOn w:val="DefaultParagraphFont"/>
    <w:uiPriority w:val="99"/>
    <w:semiHidden/>
    <w:unhideWhenUsed/>
    <w:rsid w:val="00A26DD8"/>
    <w:rPr>
      <w:vertAlign w:val="superscript"/>
    </w:rPr>
  </w:style>
  <w:style w:type="character" w:styleId="Hyperlink">
    <w:name w:val="Hyperlink"/>
    <w:basedOn w:val="DefaultParagraphFont"/>
    <w:uiPriority w:val="99"/>
    <w:unhideWhenUsed/>
    <w:rsid w:val="00064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Whelan</dc:creator>
  <cp:keywords/>
  <dc:description/>
  <cp:lastModifiedBy>Ryan, Ann</cp:lastModifiedBy>
  <cp:revision>5</cp:revision>
  <dcterms:created xsi:type="dcterms:W3CDTF">2017-04-04T06:41:00Z</dcterms:created>
  <dcterms:modified xsi:type="dcterms:W3CDTF">2017-04-06T09:46:00Z</dcterms:modified>
</cp:coreProperties>
</file>